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8D4E0">
      <w:pPr>
        <w:spacing w:before="381" w:after="381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场地平整设计说明</w:t>
      </w:r>
    </w:p>
    <w:p w14:paraId="6458128D">
      <w:pPr>
        <w:pStyle w:val="3"/>
        <w:spacing w:before="381" w:after="381"/>
      </w:pPr>
      <w:r>
        <w:rPr>
          <w:rFonts w:hint="eastAsia"/>
        </w:rPr>
        <w:t>项目概况</w:t>
      </w:r>
    </w:p>
    <w:p w14:paraId="4B14478B">
      <w:pPr>
        <w:pStyle w:val="4"/>
        <w:spacing w:before="381" w:after="381"/>
      </w:pPr>
      <w:r>
        <w:rPr>
          <w:rFonts w:hint="eastAsia"/>
        </w:rPr>
        <w:t>项目背景</w:t>
      </w:r>
    </w:p>
    <w:p w14:paraId="635423C5">
      <w:pPr>
        <w:pStyle w:val="13"/>
        <w:ind w:firstLine="560"/>
      </w:pPr>
      <w:r>
        <w:rPr>
          <w:rFonts w:hint="eastAsia"/>
        </w:rPr>
        <w:t>（1）项目名称</w:t>
      </w:r>
    </w:p>
    <w:p w14:paraId="7186A793">
      <w:pPr>
        <w:pStyle w:val="13"/>
        <w:ind w:firstLine="560"/>
      </w:pPr>
      <w:r>
        <w:rPr>
          <w:rFonts w:hint="eastAsia"/>
        </w:rPr>
        <w:t>平南县大成工业园开工企业地块土方平整工程。</w:t>
      </w:r>
    </w:p>
    <w:p w14:paraId="14E8BEF0">
      <w:pPr>
        <w:pStyle w:val="13"/>
        <w:ind w:firstLine="560"/>
      </w:pPr>
      <w:r>
        <w:rPr>
          <w:rFonts w:hint="eastAsia"/>
        </w:rPr>
        <w:t>（2）建设性质</w:t>
      </w:r>
    </w:p>
    <w:p w14:paraId="3A8352D2">
      <w:pPr>
        <w:pStyle w:val="13"/>
        <w:ind w:firstLine="560"/>
      </w:pPr>
      <w:r>
        <w:rPr>
          <w:rFonts w:hint="eastAsia"/>
        </w:rPr>
        <w:t>新建项目。</w:t>
      </w:r>
    </w:p>
    <w:p w14:paraId="4259BA07">
      <w:pPr>
        <w:pStyle w:val="4"/>
        <w:spacing w:before="381" w:after="381"/>
      </w:pPr>
      <w:r>
        <w:rPr>
          <w:rFonts w:hint="eastAsia"/>
        </w:rPr>
        <w:t>设计依据</w:t>
      </w:r>
    </w:p>
    <w:p w14:paraId="37E6DA27">
      <w:pPr>
        <w:pStyle w:val="13"/>
        <w:ind w:firstLine="560"/>
      </w:pPr>
      <w:r>
        <w:rPr>
          <w:rFonts w:hint="eastAsia"/>
        </w:rPr>
        <w:t>（</w:t>
      </w:r>
      <w:r>
        <w:t>1）</w:t>
      </w:r>
      <w:r>
        <w:rPr>
          <w:rFonts w:hint="eastAsia"/>
        </w:rPr>
        <w:t>本项目电子地形图及现场调查资料</w:t>
      </w:r>
      <w:r>
        <w:t>；</w:t>
      </w:r>
    </w:p>
    <w:p w14:paraId="6A619C35">
      <w:pPr>
        <w:pStyle w:val="13"/>
        <w:ind w:firstLine="560"/>
      </w:pPr>
      <w:r>
        <w:rPr>
          <w:rFonts w:hint="eastAsia"/>
        </w:rPr>
        <w:t>（</w:t>
      </w:r>
      <w:r>
        <w:t>2）《</w:t>
      </w:r>
      <w:r>
        <w:rPr>
          <w:rFonts w:hint="eastAsia"/>
          <w:lang w:eastAsia="zh-CN"/>
        </w:rPr>
        <w:t>平南县</w:t>
      </w:r>
      <w:r>
        <w:t>城市总体规划（20</w:t>
      </w:r>
      <w:r>
        <w:rPr>
          <w:rFonts w:hint="eastAsia"/>
          <w:lang w:val="en-US" w:eastAsia="zh-CN"/>
        </w:rPr>
        <w:t>09</w:t>
      </w:r>
      <w:r>
        <w:t>-2030）》；</w:t>
      </w:r>
    </w:p>
    <w:p w14:paraId="67A6383B">
      <w:pPr>
        <w:pStyle w:val="13"/>
        <w:ind w:firstLine="560"/>
      </w:pPr>
      <w:r>
        <w:rPr>
          <w:rFonts w:hint="eastAsia"/>
        </w:rPr>
        <w:t>（</w:t>
      </w:r>
      <w:r>
        <w:t>3）《</w:t>
      </w:r>
      <w:r>
        <w:rPr>
          <w:rFonts w:hint="eastAsia"/>
          <w:lang w:eastAsia="zh-CN"/>
        </w:rPr>
        <w:t>平南县</w:t>
      </w:r>
      <w:r>
        <w:t>国土空间总体规划（2020-2035）》；</w:t>
      </w:r>
    </w:p>
    <w:p w14:paraId="13F6B955">
      <w:pPr>
        <w:pStyle w:val="13"/>
        <w:ind w:firstLine="560"/>
      </w:pPr>
      <w:r>
        <w:rPr>
          <w:rFonts w:hint="eastAsia"/>
        </w:rPr>
        <w:t>（</w:t>
      </w:r>
      <w:r>
        <w:t>4）《建筑施工土石方工程安全技术规范》（JGJ 180-2009）；</w:t>
      </w:r>
    </w:p>
    <w:p w14:paraId="46718F08">
      <w:pPr>
        <w:pStyle w:val="13"/>
        <w:ind w:firstLine="560"/>
      </w:pPr>
      <w:r>
        <w:rPr>
          <w:rFonts w:hint="eastAsia"/>
        </w:rPr>
        <w:t>（</w:t>
      </w:r>
      <w:r>
        <w:t>5）</w:t>
      </w:r>
      <w:r>
        <w:rPr>
          <w:rFonts w:hint="eastAsia"/>
        </w:rPr>
        <w:t>《平南县大成工业园控制性详细规划》</w:t>
      </w:r>
      <w:r>
        <w:t>；</w:t>
      </w:r>
    </w:p>
    <w:p w14:paraId="39B8D337">
      <w:pPr>
        <w:pStyle w:val="13"/>
        <w:ind w:firstLine="560"/>
      </w:pPr>
      <w:r>
        <w:rPr>
          <w:rFonts w:hint="eastAsia"/>
        </w:rPr>
        <w:t>（</w:t>
      </w:r>
      <w:r>
        <w:t>6）项目委托方提供的其他相关资料。</w:t>
      </w:r>
    </w:p>
    <w:p w14:paraId="2BB9A541">
      <w:pPr>
        <w:pStyle w:val="4"/>
        <w:spacing w:before="381" w:after="381"/>
      </w:pPr>
      <w:r>
        <w:rPr>
          <w:rFonts w:hint="eastAsia"/>
        </w:rPr>
        <w:t>采用规范、标准</w:t>
      </w:r>
    </w:p>
    <w:p w14:paraId="140F8DCA">
      <w:pPr>
        <w:pStyle w:val="13"/>
        <w:ind w:firstLine="560"/>
      </w:pPr>
      <w:r>
        <w:rPr>
          <w:rFonts w:hint="eastAsia"/>
        </w:rPr>
        <w:t>（</w:t>
      </w:r>
      <w:r>
        <w:t>1）《市政公用工程设计文件编制深度规定》（2017年版）；</w:t>
      </w:r>
    </w:p>
    <w:p w14:paraId="14E9508D">
      <w:pPr>
        <w:pStyle w:val="13"/>
        <w:ind w:firstLine="560"/>
      </w:pPr>
      <w:r>
        <w:rPr>
          <w:rFonts w:hint="eastAsia"/>
        </w:rPr>
        <w:t>（</w:t>
      </w:r>
      <w:r>
        <w:t>2）</w:t>
      </w:r>
      <w:r>
        <w:rPr>
          <w:rFonts w:hint="eastAsia"/>
        </w:rPr>
        <w:t>《工程建设标准强制性条文》（城市建设部分）、</w:t>
      </w:r>
      <w:r>
        <w:rPr>
          <w:rFonts w:hint="eastAsia"/>
          <w:szCs w:val="28"/>
        </w:rPr>
        <w:t>(城乡规划部分)</w:t>
      </w:r>
      <w:r>
        <w:rPr>
          <w:rFonts w:hint="eastAsia"/>
        </w:rPr>
        <w:t>；</w:t>
      </w:r>
    </w:p>
    <w:p w14:paraId="5AFFC27C">
      <w:pPr>
        <w:pStyle w:val="13"/>
        <w:ind w:firstLine="560"/>
      </w:pPr>
      <w:r>
        <w:rPr>
          <w:rFonts w:hint="eastAsia"/>
        </w:rPr>
        <w:t>（</w:t>
      </w:r>
      <w:r>
        <w:t>3）《建筑地基基础工程施工质量验收标准》</w:t>
      </w:r>
      <w:r>
        <w:rPr>
          <w:rFonts w:hint="eastAsia"/>
        </w:rPr>
        <w:t>（</w:t>
      </w:r>
      <w:r>
        <w:t>GB 50202-2018</w:t>
      </w:r>
      <w:r>
        <w:rPr>
          <w:rFonts w:hint="eastAsia"/>
        </w:rPr>
        <w:t>）</w:t>
      </w:r>
      <w:r>
        <w:t>；</w:t>
      </w:r>
    </w:p>
    <w:p w14:paraId="02B9CD54">
      <w:pPr>
        <w:pStyle w:val="13"/>
        <w:ind w:firstLine="560"/>
      </w:pPr>
      <w:r>
        <w:rPr>
          <w:rFonts w:hint="eastAsia"/>
        </w:rPr>
        <w:t>（</w:t>
      </w:r>
      <w:r>
        <w:t>4）《市政工程勘察规范》（CJJ 56-2012）；</w:t>
      </w:r>
    </w:p>
    <w:p w14:paraId="2DBC0306">
      <w:pPr>
        <w:pStyle w:val="13"/>
        <w:ind w:firstLine="560"/>
      </w:pPr>
      <w:r>
        <w:rPr>
          <w:rFonts w:hint="eastAsia"/>
        </w:rPr>
        <w:t>（</w:t>
      </w:r>
      <w:r>
        <w:t>5）《城乡建设用地竖向规划规范》（CJJ83—2016）；</w:t>
      </w:r>
    </w:p>
    <w:p w14:paraId="71CDEE66">
      <w:pPr>
        <w:pStyle w:val="13"/>
        <w:ind w:firstLine="560"/>
      </w:pPr>
      <w:r>
        <w:rPr>
          <w:rFonts w:hint="eastAsia"/>
        </w:rPr>
        <w:t>（6）《建筑抗震设计规范》（</w:t>
      </w:r>
      <w:r>
        <w:t>GB 50011-2010</w:t>
      </w:r>
      <w:r>
        <w:rPr>
          <w:rFonts w:hint="eastAsia"/>
        </w:rPr>
        <w:t>）（2</w:t>
      </w:r>
      <w:r>
        <w:t>016</w:t>
      </w:r>
      <w:r>
        <w:rPr>
          <w:rFonts w:hint="eastAsia"/>
        </w:rPr>
        <w:t>年版）；</w:t>
      </w:r>
    </w:p>
    <w:p w14:paraId="4855B7FB">
      <w:pPr>
        <w:pStyle w:val="13"/>
        <w:ind w:firstLine="56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）《建筑与市政地基基础通用规范》（</w:t>
      </w:r>
      <w:r>
        <w:t>GB55003-2021</w:t>
      </w:r>
      <w:r>
        <w:rPr>
          <w:rFonts w:hint="eastAsia"/>
        </w:rPr>
        <w:t>）；</w:t>
      </w:r>
    </w:p>
    <w:p w14:paraId="5785B3A8">
      <w:pPr>
        <w:pStyle w:val="13"/>
        <w:ind w:firstLine="560"/>
      </w:pPr>
      <w:r>
        <w:rPr>
          <w:rFonts w:hint="eastAsia"/>
        </w:rPr>
        <w:t>（</w:t>
      </w:r>
      <w:r>
        <w:t>8</w:t>
      </w:r>
      <w:r>
        <w:rPr>
          <w:rFonts w:hint="eastAsia"/>
        </w:rPr>
        <w:t>）《工程结构通用规范》（</w:t>
      </w:r>
      <w:r>
        <w:t>GB 55001-2021</w:t>
      </w:r>
      <w:r>
        <w:rPr>
          <w:rFonts w:hint="eastAsia"/>
        </w:rPr>
        <w:t>）。</w:t>
      </w:r>
    </w:p>
    <w:p w14:paraId="7F9835BC">
      <w:pPr>
        <w:pStyle w:val="4"/>
        <w:spacing w:before="381" w:after="381"/>
      </w:pPr>
      <w:r>
        <w:rPr>
          <w:rFonts w:hint="eastAsia"/>
        </w:rPr>
        <w:t>项目建设内容</w:t>
      </w:r>
    </w:p>
    <w:p w14:paraId="2D739FB2">
      <w:pPr>
        <w:pStyle w:val="13"/>
        <w:ind w:firstLine="560"/>
        <w:rPr>
          <w:rFonts w:hint="default" w:eastAsia="宋体"/>
          <w:lang w:val="en-US" w:eastAsia="zh-CN"/>
        </w:rPr>
      </w:pPr>
      <w:r>
        <w:rPr>
          <w:rFonts w:hint="eastAsia"/>
        </w:rPr>
        <w:t>本项目场地平整建设内容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挖填土石方。场地平整面积</w:t>
      </w:r>
      <w:r>
        <w:rPr>
          <w:rFonts w:hint="eastAsia"/>
          <w:lang w:val="en-US" w:eastAsia="zh-CN"/>
        </w:rPr>
        <w:t>71956.5</w:t>
      </w:r>
      <w:r>
        <w:t>平方米，</w:t>
      </w:r>
      <w:r>
        <w:rPr>
          <w:rFonts w:hint="eastAsia"/>
          <w:lang w:val="en-US" w:eastAsia="zh-CN"/>
        </w:rPr>
        <w:t>挖土方101.9</w:t>
      </w:r>
      <w:r>
        <w:t>立方米</w:t>
      </w:r>
      <w:r>
        <w:rPr>
          <w:rFonts w:hint="eastAsia"/>
          <w:lang w:eastAsia="zh-CN"/>
        </w:rPr>
        <w:t>，</w:t>
      </w:r>
      <w:r>
        <w:t>填方</w:t>
      </w:r>
      <w:r>
        <w:rPr>
          <w:rFonts w:hint="eastAsia"/>
          <w:lang w:val="en-US" w:eastAsia="zh-CN"/>
        </w:rPr>
        <w:t>42206.5</w:t>
      </w:r>
      <w:r>
        <w:t>立方米</w:t>
      </w:r>
      <w:r>
        <w:rPr>
          <w:rFonts w:hint="eastAsia"/>
          <w:lang w:val="en-US" w:eastAsia="zh-CN"/>
        </w:rPr>
        <w:t>。</w:t>
      </w:r>
    </w:p>
    <w:p w14:paraId="387F03E7">
      <w:pPr>
        <w:pStyle w:val="3"/>
        <w:spacing w:before="381" w:after="381"/>
      </w:pPr>
      <w:r>
        <w:rPr>
          <w:rFonts w:hint="eastAsia"/>
        </w:rPr>
        <w:t>场地建设条件</w:t>
      </w:r>
    </w:p>
    <w:p w14:paraId="696F042C">
      <w:pPr>
        <w:pStyle w:val="4"/>
        <w:spacing w:before="381" w:after="381"/>
      </w:pPr>
      <w:r>
        <w:rPr>
          <w:rFonts w:hint="eastAsia"/>
        </w:rPr>
        <w:t>地形地貌</w:t>
      </w:r>
    </w:p>
    <w:p w14:paraId="2BD7F9D7">
      <w:pPr>
        <w:ind w:firstLine="560" w:firstLineChars="200"/>
      </w:pPr>
      <w:r>
        <w:rPr>
          <w:rFonts w:hint="eastAsia"/>
          <w:lang w:val="en-US" w:eastAsia="zh-CN"/>
        </w:rPr>
        <w:t>场地位于平南县大成工业园内。</w:t>
      </w:r>
      <w:r>
        <w:rPr>
          <w:rFonts w:hint="eastAsia"/>
        </w:rPr>
        <w:t>该项目地块为残峰平原地貌</w:t>
      </w:r>
      <w:r>
        <w:t>，</w:t>
      </w:r>
      <w:r>
        <w:rPr>
          <w:rFonts w:hint="eastAsia"/>
        </w:rPr>
        <w:t>地势总体较为平坦，地形坡度</w:t>
      </w:r>
      <w:r>
        <w:t>5</w:t>
      </w:r>
      <w:r>
        <w:rPr>
          <w:rFonts w:hint="eastAsia"/>
        </w:rPr>
        <w:t>～</w:t>
      </w:r>
      <w:r>
        <w:t>15</w:t>
      </w:r>
      <w:r>
        <w:rPr>
          <w:rFonts w:hint="eastAsia"/>
        </w:rPr>
        <w:t>°</w:t>
      </w:r>
      <w:r>
        <w:t>，</w:t>
      </w:r>
      <w:r>
        <w:rPr>
          <w:rFonts w:hint="eastAsia" w:ascii="宋体" w:hAnsi="宋体"/>
          <w:sz w:val="28"/>
          <w:szCs w:val="28"/>
        </w:rPr>
        <w:t>现状</w:t>
      </w:r>
      <w:r>
        <w:rPr>
          <w:rFonts w:hint="eastAsia"/>
          <w:sz w:val="28"/>
          <w:szCs w:val="28"/>
          <w:lang w:val="en-US" w:eastAsia="zh-CN"/>
        </w:rPr>
        <w:t>均为已出让丢荒地</w:t>
      </w:r>
      <w:r>
        <w:rPr>
          <w:rFonts w:hint="eastAsia" w:ascii="宋体" w:hAnsi="宋体"/>
          <w:sz w:val="28"/>
          <w:szCs w:val="28"/>
        </w:rPr>
        <w:t>，本次系填</w:t>
      </w:r>
      <w:r>
        <w:rPr>
          <w:rFonts w:ascii="宋体" w:hAnsi="宋体"/>
          <w:sz w:val="28"/>
          <w:szCs w:val="28"/>
        </w:rPr>
        <w:t>方</w:t>
      </w:r>
      <w:r>
        <w:rPr>
          <w:rFonts w:hint="eastAsia"/>
          <w:sz w:val="28"/>
          <w:szCs w:val="28"/>
          <w:lang w:val="en-US" w:eastAsia="zh-CN"/>
        </w:rPr>
        <w:t>平整</w:t>
      </w:r>
      <w:r>
        <w:rPr>
          <w:rFonts w:hint="eastAsia" w:ascii="宋体" w:hAnsi="宋体"/>
          <w:sz w:val="28"/>
          <w:szCs w:val="28"/>
        </w:rPr>
        <w:t xml:space="preserve">到设计地坪标高。 </w:t>
      </w:r>
      <w:r>
        <w:rPr>
          <w:rFonts w:hint="eastAsia"/>
          <w:sz w:val="28"/>
          <w:szCs w:val="28"/>
          <w:lang w:val="en-US" w:eastAsia="zh-CN"/>
        </w:rPr>
        <w:t>场地内无水沟，</w:t>
      </w:r>
      <w:r>
        <w:t>无大冲沟、滑坡等不良地质作用，未发现有断裂带通过，属区域相对稳定区。地面植被</w:t>
      </w:r>
      <w:r>
        <w:rPr>
          <w:rFonts w:hint="eastAsia"/>
        </w:rPr>
        <w:t>局部</w:t>
      </w:r>
      <w:r>
        <w:t>发育，有灌木</w:t>
      </w:r>
      <w:r>
        <w:rPr>
          <w:rFonts w:hint="eastAsia"/>
        </w:rPr>
        <w:t>、</w:t>
      </w:r>
      <w:r>
        <w:t>杂树等</w:t>
      </w:r>
      <w:r>
        <w:rPr>
          <w:rFonts w:hint="eastAsia"/>
        </w:rPr>
        <w:t>。</w:t>
      </w:r>
    </w:p>
    <w:p w14:paraId="4E4E2220">
      <w:pPr>
        <w:pStyle w:val="4"/>
        <w:spacing w:before="381" w:after="381"/>
      </w:pPr>
      <w:r>
        <w:rPr>
          <w:rFonts w:hint="eastAsia"/>
        </w:rPr>
        <w:t>水文气候</w:t>
      </w:r>
    </w:p>
    <w:p w14:paraId="39BB9ADB"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降雨量：全县平均降雨量1208.7毫米，南部乡镇平均降雨量1115.7毫米，北部乡镇平均降雨量1278.4毫米，其中平南国家气象观测站年降水量1132.0毫米，比历年平均值偏少424.5毫米，偏少27.3%，偏少程度居建站以来同期的第四位，仅多余1989年、2000年和1991年；降雨量1、3月偏少，偏少程度为居建站以来同期的第一位、第三位。</w:t>
      </w:r>
    </w:p>
    <w:p w14:paraId="15DD869E"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气温：202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年，平南县年平均气温为23.0℃，比历年平均值偏高1.0℃，偏高程度仅次于2015年和2009年，年极端最高气温为37.6℃，出现在9月12日，年极端最低气温为2.5℃，出现在1月8日；气温2、3、9月偏高，2月平均气温偏高程度居建站以来同期的第二位，3月平均气温偏高程度居1981年以来同期的第三位，9月平均气温偏高程度居建站以来同期的第三位。</w:t>
      </w:r>
    </w:p>
    <w:p w14:paraId="11768F93"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年1月至3月，平南县平均降水量为145.8毫米，较多年同期平均降水量减少46.8%。汛期4～9月平南县平均降水量为939.7毫米，较多年同期平均降水量减少17.0%，其中汛期最大降水量为国安乡民安村1270.0毫米，最小降水量为思界乡新屋村438.5毫米。全县年平均降水量为1217.7毫米（县气象站数据为1208.7毫米），较多年平均降水量减少18.3%，其中年最大降雨量为大鹏镇北帝山景区1649毫米，最小降雨量为思界乡新屋村598.5毫米。</w:t>
      </w:r>
    </w:p>
    <w:p w14:paraId="0CB72C42">
      <w:pPr>
        <w:pStyle w:val="13"/>
        <w:ind w:firstLine="560"/>
        <w:rPr>
          <w:rFonts w:hint="eastAsia"/>
          <w:lang w:eastAsia="zh-CN"/>
        </w:rPr>
      </w:pPr>
      <w:r>
        <w:rPr>
          <w:rFonts w:hint="eastAsia"/>
          <w:lang w:eastAsia="zh-CN"/>
        </w:rPr>
        <w:t>本工程场地范围内无地表水体分布。</w:t>
      </w:r>
    </w:p>
    <w:p w14:paraId="785DD8FE">
      <w:pPr>
        <w:pStyle w:val="4"/>
        <w:spacing w:before="381" w:after="381"/>
      </w:pPr>
      <w:r>
        <w:rPr>
          <w:rFonts w:hint="eastAsia"/>
        </w:rPr>
        <w:t>交通运输条件</w:t>
      </w:r>
    </w:p>
    <w:p w14:paraId="36A27FDB">
      <w:pPr>
        <w:pStyle w:val="13"/>
        <w:ind w:firstLine="560"/>
      </w:pPr>
      <w:r>
        <w:rPr>
          <w:rFonts w:hint="eastAsia"/>
        </w:rPr>
        <w:t>项目场地四周运输条件较好，建材、物资和机具设备可通过周围路网运至工地。由于运输方便，建材、物资和机具设备等要做好供需计划，避免材料积压和设备闲置，同时应合理安排运输路线，降低运输成本。</w:t>
      </w:r>
    </w:p>
    <w:p w14:paraId="2CD6D23C">
      <w:pPr>
        <w:pStyle w:val="4"/>
        <w:spacing w:before="381" w:after="381"/>
      </w:pPr>
      <w:r>
        <w:rPr>
          <w:rFonts w:hint="eastAsia"/>
        </w:rPr>
        <w:t>场地工程地质条件</w:t>
      </w:r>
    </w:p>
    <w:p w14:paraId="4D036470">
      <w:pPr>
        <w:spacing w:after="156" w:afterLines="50" w:line="360" w:lineRule="auto"/>
        <w:ind w:firstLine="560" w:firstLineChars="200"/>
        <w:rPr>
          <w:rFonts w:hint="default"/>
          <w:color w:val="C00000"/>
          <w:sz w:val="28"/>
          <w:szCs w:val="28"/>
          <w:lang w:val="en-US" w:eastAsia="zh-CN"/>
        </w:rPr>
      </w:pPr>
      <w:r>
        <w:rPr>
          <w:rFonts w:hint="eastAsia"/>
          <w:color w:val="C00000"/>
          <w:sz w:val="28"/>
          <w:szCs w:val="28"/>
          <w:lang w:val="en-US" w:eastAsia="zh-CN"/>
        </w:rPr>
        <w:t>待补充。</w:t>
      </w:r>
    </w:p>
    <w:p w14:paraId="26F4D6FE">
      <w:pPr>
        <w:pStyle w:val="4"/>
        <w:spacing w:before="381" w:after="381"/>
      </w:pPr>
      <w:r>
        <w:t>不良地质作用和特殊性岩土评价</w:t>
      </w:r>
    </w:p>
    <w:p w14:paraId="701CC23D">
      <w:pPr>
        <w:pStyle w:val="13"/>
        <w:ind w:firstLine="560"/>
      </w:pPr>
      <w:r>
        <w:rPr>
          <w:rFonts w:hint="eastAsia"/>
        </w:rPr>
        <w:t>场地特殊性岩土主要为</w:t>
      </w:r>
      <w:r>
        <w:rPr>
          <w:rFonts w:hint="eastAsia"/>
          <w:lang w:val="en-US" w:eastAsia="zh-CN"/>
        </w:rPr>
        <w:t>表层松土</w:t>
      </w:r>
      <w:r>
        <w:rPr>
          <w:rFonts w:hint="eastAsia"/>
        </w:rPr>
        <w:t>，分布于</w:t>
      </w:r>
      <w:r>
        <w:rPr>
          <w:rFonts w:hint="eastAsia"/>
          <w:lang w:val="en-US" w:eastAsia="zh-CN"/>
        </w:rPr>
        <w:t>整个场地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土层厚0.2~0.3</w:t>
      </w:r>
      <w:r>
        <w:rPr>
          <w:rFonts w:hint="eastAsia"/>
        </w:rPr>
        <w:t>m，建议对其进行清除换填，防止场区地基的不均匀沉降。</w:t>
      </w:r>
    </w:p>
    <w:p w14:paraId="2B80BA8E">
      <w:pPr>
        <w:pStyle w:val="4"/>
        <w:spacing w:before="381" w:after="381"/>
      </w:pPr>
      <w:r>
        <w:rPr>
          <w:rFonts w:hint="eastAsia"/>
        </w:rPr>
        <w:t>工程地质情况评价</w:t>
      </w:r>
    </w:p>
    <w:p w14:paraId="7BA47E4D">
      <w:pPr>
        <w:pStyle w:val="13"/>
        <w:ind w:firstLine="560"/>
      </w:pPr>
      <w:r>
        <w:rPr>
          <w:rFonts w:hint="eastAsia"/>
        </w:rPr>
        <w:t>场地范围内未发现影响场地稳定性的崩塌、滑坡、岩溶塌陷、落水洞等不良地质现象，场地及其附近未见有全新活动断裂构造带、采空区等不良地质作用存在。根据该场地踏勘和调查访问，本场地内未发现河道、沟浜、墓穴、防空洞、孤石等对工程不利的埋藏物。本场地属于相对稳定地区，适宜建筑。</w:t>
      </w:r>
    </w:p>
    <w:p w14:paraId="77EBBF33">
      <w:pPr>
        <w:pStyle w:val="3"/>
        <w:spacing w:before="381" w:after="381"/>
      </w:pPr>
      <w:r>
        <w:rPr>
          <w:rFonts w:hint="eastAsia"/>
        </w:rPr>
        <w:t>场地平整设计</w:t>
      </w:r>
    </w:p>
    <w:p w14:paraId="38F7A5CD">
      <w:pPr>
        <w:pStyle w:val="4"/>
        <w:spacing w:before="381" w:after="381"/>
      </w:pPr>
      <w:r>
        <w:rPr>
          <w:rFonts w:hint="eastAsia"/>
        </w:rPr>
        <w:t>设计原则</w:t>
      </w:r>
    </w:p>
    <w:p w14:paraId="6C8AA1B7">
      <w:pPr>
        <w:pStyle w:val="13"/>
        <w:ind w:firstLine="560"/>
      </w:pPr>
      <w:r>
        <w:rPr>
          <w:rFonts w:hint="eastAsia"/>
        </w:rPr>
        <w:t>场地平整设计要符合城市总体规划要求，与城市发展、沿线地块开发相协调，符合环境保护要求，加强场地绿化，改善场地周边景观。根据场地地形、地貌、地质、水文、气候等自然条件，遵循因地制宜、就地取材，以防为主、防治结合的原则进行路基排水、防护、弃土等综合设计，确保场地工程安全经济、造型美观并与环境相协调。</w:t>
      </w:r>
    </w:p>
    <w:p w14:paraId="0CCB484F">
      <w:pPr>
        <w:pStyle w:val="4"/>
        <w:spacing w:before="381" w:after="381"/>
      </w:pPr>
      <w:r>
        <w:rPr>
          <w:rFonts w:hint="eastAsia"/>
        </w:rPr>
        <w:t>场地土石方设计</w:t>
      </w:r>
    </w:p>
    <w:p w14:paraId="0491CBCC">
      <w:pPr>
        <w:pStyle w:val="13"/>
        <w:ind w:firstLine="560"/>
      </w:pPr>
      <w:r>
        <w:rPr>
          <w:rFonts w:hint="eastAsia"/>
        </w:rPr>
        <w:t>根据确定后的场地设计标高，采用方格网法计算场地的土方数量，方格网间距</w:t>
      </w:r>
      <w:r>
        <w:t>10×10m，根据确定的设计标高计算出每个方格交点的设计标高和自然标高，采用四方棱柱法计算每个方格的土方工程量，然后进行汇总。</w:t>
      </w:r>
    </w:p>
    <w:p w14:paraId="3634E9BE">
      <w:pPr>
        <w:pStyle w:val="13"/>
        <w:ind w:firstLine="560"/>
      </w:pPr>
      <w:r>
        <w:rPr>
          <w:rFonts w:hint="eastAsia"/>
        </w:rPr>
        <w:t>方格网法土方计算适用于地形变化比较平缓的地形情况</w:t>
      </w:r>
      <w:r>
        <w:t>,用于计算场地平整的土方量计算较为精确。具体做法如下</w:t>
      </w:r>
      <w:r>
        <w:rPr>
          <w:rFonts w:hint="eastAsia"/>
        </w:rPr>
        <w:t>：</w:t>
      </w:r>
      <w:r>
        <w:t>首先建立地形的坐标方格网，方格网的一边与地形等高线或场地坐标网平行，方格网间距采用10×10m,然后求出方格各个角点的自然标高、设计标高以及施工</w:t>
      </w:r>
      <w:r>
        <w:rPr>
          <w:rFonts w:hint="eastAsia"/>
        </w:rPr>
        <w:t>高差</w:t>
      </w:r>
      <w:r>
        <w:t>。</w:t>
      </w:r>
    </w:p>
    <w:p w14:paraId="34827360">
      <w:pPr>
        <w:pStyle w:val="13"/>
        <w:ind w:firstLine="560"/>
      </w:pPr>
      <w:r>
        <w:rPr>
          <w:rFonts w:hint="eastAsia"/>
        </w:rPr>
        <w:t>计算零点位置及零线的确定：</w:t>
      </w:r>
      <w:r>
        <w:t>在每相邻的填方点和挖方点之间总存在-一个零点，零点的确定方法如下</w:t>
      </w:r>
      <w:r>
        <w:rPr>
          <w:rFonts w:hint="eastAsia"/>
        </w:rPr>
        <w:t>：</w:t>
      </w:r>
    </w:p>
    <w:p w14:paraId="320716CF">
      <w:pPr>
        <w:pStyle w:val="13"/>
        <w:ind w:firstLine="560"/>
        <w:jc w:val="center"/>
        <w:rPr>
          <w:rFonts w:ascii="Times New Roman" w:hAnsi="Times New Roman" w:cstheme="majorBidi"/>
          <w:b/>
          <w:bCs/>
          <w:sz w:val="30"/>
          <w:szCs w:val="32"/>
        </w:rPr>
      </w:pPr>
      <w:r>
        <w:drawing>
          <wp:inline distT="0" distB="0" distL="0" distR="0">
            <wp:extent cx="3790950" cy="19024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902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1D720"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30"/>
          <w:sz w:val="30"/>
          <w:szCs w:val="32"/>
        </w:rPr>
        <w:object>
          <v:shape id="_x0000_i1025" o:spt="75" type="#_x0000_t75" style="height:47.25pt;width:9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cstheme="majorBidi"/>
          <w:b/>
          <w:bCs/>
          <w:sz w:val="30"/>
          <w:szCs w:val="32"/>
        </w:rPr>
        <w:t xml:space="preserve">    </w:t>
      </w:r>
      <w:r>
        <w:rPr>
          <w:rFonts w:ascii="Times New Roman" w:hAnsi="Times New Roman" w:cstheme="majorBidi"/>
          <w:b/>
          <w:bCs/>
          <w:position w:val="-30"/>
          <w:sz w:val="30"/>
          <w:szCs w:val="32"/>
        </w:rPr>
        <w:object>
          <v:shape id="_x0000_i1026" o:spt="75" type="#_x0000_t75" style="height:47.25pt;width:87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 w14:paraId="5AE404E5"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27" o:spt="75" type="#_x0000_t75" style="height:24.75pt;width:22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零点距填方角顶的距离；</w:t>
      </w:r>
    </w:p>
    <w:p w14:paraId="64F02E44"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28" o:spt="75" type="#_x0000_t75" style="height:24.75pt;width:24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零点距挖方角顶的距离；</w:t>
      </w:r>
    </w:p>
    <w:p w14:paraId="65829804"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29" o:spt="75" type="#_x0000_t75" style="height:24.75pt;width:1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填方高度</w:t>
      </w:r>
      <w:r>
        <w:rPr>
          <w:rFonts w:hint="eastAsia"/>
        </w:rPr>
        <w:t>；</w:t>
      </w:r>
    </w:p>
    <w:p w14:paraId="78AA92BE">
      <w:pPr>
        <w:pStyle w:val="13"/>
        <w:ind w:firstLine="602"/>
        <w:rPr>
          <w:rFonts w:ascii="Times New Roman" w:hAnsi="Times New Roman" w:cstheme="majorBidi"/>
          <w:b/>
          <w:bCs/>
          <w:sz w:val="30"/>
          <w:szCs w:val="32"/>
        </w:rPr>
      </w:pPr>
      <w:r>
        <w:rPr>
          <w:rFonts w:ascii="Times New Roman" w:hAnsi="Times New Roman" w:cstheme="majorBidi"/>
          <w:b/>
          <w:bCs/>
          <w:position w:val="-12"/>
          <w:sz w:val="30"/>
          <w:szCs w:val="32"/>
        </w:rPr>
        <w:object>
          <v:shape id="_x0000_i1030" o:spt="75" type="#_x0000_t75" style="height:24.75pt;width:19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挖方高度</w:t>
      </w:r>
      <w:r>
        <w:rPr>
          <w:rFonts w:hint="eastAsia"/>
        </w:rPr>
        <w:t>；</w:t>
      </w:r>
    </w:p>
    <w:p w14:paraId="6590A55A">
      <w:pPr>
        <w:pStyle w:val="13"/>
        <w:ind w:firstLine="602"/>
      </w:pPr>
      <w:r>
        <w:rPr>
          <w:rFonts w:ascii="Times New Roman" w:hAnsi="Times New Roman" w:cstheme="majorBidi"/>
          <w:b/>
          <w:bCs/>
          <w:position w:val="-6"/>
          <w:sz w:val="30"/>
          <w:szCs w:val="32"/>
        </w:rPr>
        <w:object>
          <v:shape id="_x0000_i1031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Times New Roman" w:hAnsi="Times New Roman" w:cstheme="majorBidi"/>
          <w:b/>
          <w:bCs/>
          <w:sz w:val="30"/>
          <w:szCs w:val="32"/>
        </w:rPr>
        <w:t>——</w:t>
      </w:r>
      <w:r>
        <w:t>方格</w:t>
      </w:r>
      <w:r>
        <w:rPr>
          <w:rFonts w:hint="eastAsia"/>
        </w:rPr>
        <w:t>边长。</w:t>
      </w:r>
    </w:p>
    <w:p w14:paraId="4F43CA15">
      <w:pPr>
        <w:pStyle w:val="13"/>
        <w:ind w:firstLine="560"/>
      </w:pPr>
      <w:r>
        <w:rPr>
          <w:rFonts w:hint="eastAsia"/>
        </w:rPr>
        <w:t>连接每个方格上的相邻两个零点得到零线，根据零线将方格按填挖方区域划分，再采用相应公式计算填挖方量。</w:t>
      </w:r>
    </w:p>
    <w:p w14:paraId="7856BA65">
      <w:pPr>
        <w:jc w:val="center"/>
      </w:pPr>
      <w:r>
        <w:rPr>
          <w:rFonts w:hint="eastAsia"/>
        </w:rPr>
        <w:t>场地平整填挖量汇总表</w:t>
      </w:r>
    </w:p>
    <w:tbl>
      <w:tblPr>
        <w:tblStyle w:val="29"/>
        <w:tblW w:w="36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571"/>
        <w:gridCol w:w="2571"/>
      </w:tblGrid>
      <w:tr w14:paraId="6121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4" w:type="pct"/>
          </w:tcPr>
          <w:p w14:paraId="6E66DB01">
            <w:pPr>
              <w:pStyle w:val="26"/>
            </w:pPr>
          </w:p>
        </w:tc>
        <w:tc>
          <w:tcPr>
            <w:tcW w:w="1827" w:type="pct"/>
          </w:tcPr>
          <w:p w14:paraId="5BAD9AEC">
            <w:pPr>
              <w:pStyle w:val="26"/>
            </w:pPr>
            <w:r>
              <w:rPr>
                <w:rFonts w:hint="eastAsia"/>
              </w:rPr>
              <w:t>挖方量（m³）</w:t>
            </w:r>
          </w:p>
        </w:tc>
        <w:tc>
          <w:tcPr>
            <w:tcW w:w="1827" w:type="pct"/>
          </w:tcPr>
          <w:p w14:paraId="2B5D4A04">
            <w:pPr>
              <w:pStyle w:val="26"/>
            </w:pPr>
            <w:r>
              <w:rPr>
                <w:rFonts w:hint="eastAsia"/>
              </w:rPr>
              <w:t>填方量（m³）</w:t>
            </w:r>
          </w:p>
        </w:tc>
      </w:tr>
      <w:tr w14:paraId="590FD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4" w:type="pct"/>
          </w:tcPr>
          <w:p w14:paraId="2B3FB950">
            <w:pPr>
              <w:pStyle w:val="26"/>
            </w:pPr>
            <w:r>
              <w:rPr>
                <w:rFonts w:hint="eastAsia"/>
              </w:rPr>
              <w:t>场地</w:t>
            </w:r>
          </w:p>
        </w:tc>
        <w:tc>
          <w:tcPr>
            <w:tcW w:w="1827" w:type="pct"/>
          </w:tcPr>
          <w:p w14:paraId="5512923D">
            <w:pPr>
              <w:pStyle w:val="26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101.9</w:t>
            </w:r>
          </w:p>
        </w:tc>
        <w:tc>
          <w:tcPr>
            <w:tcW w:w="1827" w:type="pct"/>
          </w:tcPr>
          <w:p w14:paraId="17C4F093">
            <w:pPr>
              <w:pStyle w:val="26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42206.5</w:t>
            </w:r>
          </w:p>
        </w:tc>
      </w:tr>
      <w:tr w14:paraId="26B29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4" w:type="pct"/>
          </w:tcPr>
          <w:p w14:paraId="1D9725AD">
            <w:pPr>
              <w:pStyle w:val="26"/>
              <w:rPr>
                <w:rFonts w:hint="eastAsia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清表</w:t>
            </w:r>
          </w:p>
        </w:tc>
        <w:tc>
          <w:tcPr>
            <w:tcW w:w="1827" w:type="pct"/>
          </w:tcPr>
          <w:p w14:paraId="3B497F15">
            <w:pPr>
              <w:pStyle w:val="26"/>
              <w:ind w:firstLine="960" w:firstLineChars="400"/>
              <w:jc w:val="both"/>
              <w:rPr>
                <w:rFonts w:hint="default" w:eastAsiaTheme="majorEastAsia"/>
                <w:lang w:val="en-US" w:eastAsia="zh-CN"/>
              </w:rPr>
            </w:pPr>
          </w:p>
        </w:tc>
        <w:tc>
          <w:tcPr>
            <w:tcW w:w="1827" w:type="pct"/>
          </w:tcPr>
          <w:p w14:paraId="41791FAF">
            <w:pPr>
              <w:pStyle w:val="26"/>
              <w:rPr>
                <w:rFonts w:hint="default" w:eastAsiaTheme="majorEastAsia"/>
                <w:lang w:val="en-US" w:eastAsia="zh-CN"/>
              </w:rPr>
            </w:pPr>
          </w:p>
        </w:tc>
      </w:tr>
    </w:tbl>
    <w:p w14:paraId="6800027E">
      <w:pPr>
        <w:pStyle w:val="4"/>
        <w:spacing w:before="381" w:after="381"/>
      </w:pPr>
      <w:r>
        <w:rPr>
          <w:rFonts w:hint="eastAsia"/>
        </w:rPr>
        <w:t>场地回填压实要求</w:t>
      </w:r>
    </w:p>
    <w:p w14:paraId="4395B160">
      <w:pPr>
        <w:pStyle w:val="13"/>
        <w:ind w:firstLine="560"/>
      </w:pPr>
      <w:r>
        <w:rPr>
          <w:rFonts w:hint="eastAsia"/>
        </w:rPr>
        <w:t>（1）场区填方区域压实填料应选用级配良好的砂土或碎石土，最大粒径不宜大于</w:t>
      </w:r>
      <w:r>
        <w:t>100mm，不得使用淤泥、耕土、膨胀土及有机质含量大于5%的土料。同一水平层应采用同一填料，不得混合填筑。</w:t>
      </w:r>
      <w:r>
        <w:rPr>
          <w:rFonts w:hint="eastAsia"/>
        </w:rPr>
        <w:t>若有不良地质地段，应先处理合格后再进行填土施工。</w:t>
      </w:r>
    </w:p>
    <w:p w14:paraId="4A7EB3D3">
      <w:pPr>
        <w:pStyle w:val="13"/>
        <w:ind w:firstLine="56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（</w:t>
      </w:r>
      <w:r>
        <w:rPr>
          <w:color w:val="auto"/>
          <w:highlight w:val="none"/>
        </w:rPr>
        <w:t>2</w:t>
      </w:r>
      <w:r>
        <w:rPr>
          <w:rFonts w:hint="eastAsia"/>
          <w:color w:val="auto"/>
          <w:highlight w:val="none"/>
        </w:rPr>
        <w:t>）场区暂未规划设计，</w:t>
      </w:r>
      <w:r>
        <w:rPr>
          <w:rFonts w:hint="eastAsia"/>
          <w:color w:val="auto"/>
          <w:highlight w:val="none"/>
          <w:lang w:val="en-US" w:eastAsia="zh-CN"/>
        </w:rPr>
        <w:t>按使用方要求暂未进行压实，仅推土推平</w:t>
      </w:r>
      <w:r>
        <w:rPr>
          <w:rFonts w:hint="eastAsia"/>
          <w:color w:val="auto"/>
          <w:highlight w:val="none"/>
        </w:rPr>
        <w:t>。</w:t>
      </w:r>
    </w:p>
    <w:p w14:paraId="04CF57A9">
      <w:pPr>
        <w:pStyle w:val="4"/>
        <w:spacing w:before="381" w:after="381"/>
      </w:pPr>
      <w:r>
        <w:rPr>
          <w:rFonts w:hint="eastAsia"/>
        </w:rPr>
        <w:t>边坡设计</w:t>
      </w:r>
    </w:p>
    <w:p w14:paraId="0A0C27B2">
      <w:pPr>
        <w:pStyle w:val="13"/>
        <w:ind w:firstLine="560"/>
        <w:rPr>
          <w:rFonts w:hint="eastAsia"/>
        </w:rPr>
      </w:pPr>
      <w:r>
        <w:rPr>
          <w:rFonts w:hint="eastAsia"/>
          <w:lang w:val="en-US" w:eastAsia="zh-CN"/>
        </w:rPr>
        <w:t>场地填挖高差较小，无边坡</w:t>
      </w:r>
      <w:r>
        <w:t>。</w:t>
      </w:r>
    </w:p>
    <w:p w14:paraId="3BA4E018">
      <w:pPr>
        <w:pStyle w:val="4"/>
        <w:spacing w:before="381" w:after="381"/>
      </w:pPr>
      <w:r>
        <w:t>取、弃土</w:t>
      </w:r>
      <w:r>
        <w:rPr>
          <w:rFonts w:hint="eastAsia"/>
        </w:rPr>
        <w:t>设计</w:t>
      </w:r>
    </w:p>
    <w:p w14:paraId="34CA4ABE">
      <w:pPr>
        <w:pStyle w:val="13"/>
        <w:ind w:firstLine="560"/>
        <w:rPr>
          <w:rFonts w:hint="default" w:eastAsia="宋体"/>
          <w:lang w:val="en-US" w:eastAsia="zh-CN"/>
        </w:rPr>
      </w:pPr>
      <w:r>
        <w:rPr>
          <w:rFonts w:hint="eastAsia"/>
        </w:rPr>
        <w:t>本项目挖方填料能满足填土各层回填要求，可利用为填方回填材料和不良地质换填材料。</w:t>
      </w:r>
      <w:r>
        <w:rPr>
          <w:rFonts w:hint="eastAsia"/>
          <w:lang w:val="en-US" w:eastAsia="zh-CN"/>
        </w:rPr>
        <w:t>经与建设单位、相关部门踏勘，本项目取土点主要位于平南县宝轩矿业有限公司东，运距2</w:t>
      </w:r>
      <w:bookmarkStart w:id="0" w:name="_GoBack"/>
      <w:bookmarkEnd w:id="0"/>
      <w:r>
        <w:rPr>
          <w:rFonts w:hint="eastAsia"/>
          <w:lang w:val="en-US" w:eastAsia="zh-CN"/>
        </w:rPr>
        <w:t>.5公里。</w:t>
      </w:r>
    </w:p>
    <w:p w14:paraId="766F3AB8">
      <w:pPr>
        <w:pStyle w:val="13"/>
        <w:ind w:firstLine="560"/>
      </w:pPr>
      <w:r>
        <w:rPr>
          <w:rFonts w:hint="eastAsia"/>
        </w:rPr>
        <w:t>本项目场地</w:t>
      </w:r>
      <w:r>
        <w:rPr>
          <w:rFonts w:hint="eastAsia"/>
          <w:lang w:val="en-US" w:eastAsia="zh-CN"/>
        </w:rPr>
        <w:t>无</w:t>
      </w:r>
      <w:r>
        <w:rPr>
          <w:rFonts w:hint="eastAsia"/>
        </w:rPr>
        <w:t>需要废弃</w:t>
      </w:r>
      <w:r>
        <w:rPr>
          <w:rFonts w:hint="eastAsia"/>
          <w:lang w:val="en-US" w:eastAsia="zh-CN"/>
        </w:rPr>
        <w:t>土</w:t>
      </w:r>
      <w:r>
        <w:rPr>
          <w:rFonts w:hint="eastAsia"/>
        </w:rPr>
        <w:t>处理</w:t>
      </w:r>
      <w:r>
        <w:t>。</w:t>
      </w:r>
    </w:p>
    <w:p w14:paraId="55122580">
      <w:pPr>
        <w:pStyle w:val="13"/>
        <w:rPr>
          <w:rFonts w:hint="eastAsia" w:eastAsia="宋体"/>
          <w:lang w:val="en-US" w:eastAsia="zh-CN"/>
        </w:rPr>
      </w:pPr>
    </w:p>
    <w:p w14:paraId="33B1CF41">
      <w:pPr>
        <w:pStyle w:val="4"/>
        <w:spacing w:before="381" w:after="381"/>
      </w:pPr>
      <w:r>
        <w:t>沿线环境保护设施</w:t>
      </w:r>
    </w:p>
    <w:p w14:paraId="7D59D201">
      <w:pPr>
        <w:pStyle w:val="13"/>
        <w:ind w:firstLine="560"/>
      </w:pPr>
      <w:r>
        <w:rPr>
          <w:rFonts w:hint="eastAsia"/>
        </w:rPr>
        <w:t>（</w:t>
      </w:r>
      <w:r>
        <w:t>1）场</w:t>
      </w:r>
      <w:r>
        <w:rPr>
          <w:rFonts w:hint="eastAsia"/>
        </w:rPr>
        <w:t>地平整</w:t>
      </w:r>
      <w:r>
        <w:t>设计</w:t>
      </w:r>
      <w:r>
        <w:rPr>
          <w:rFonts w:hint="eastAsia"/>
        </w:rPr>
        <w:t>要</w:t>
      </w:r>
      <w:r>
        <w:t>与城市规划相结合</w:t>
      </w:r>
      <w:r>
        <w:rPr>
          <w:rFonts w:hint="eastAsia"/>
        </w:rPr>
        <w:t>。</w:t>
      </w:r>
    </w:p>
    <w:p w14:paraId="7F979026">
      <w:pPr>
        <w:pStyle w:val="13"/>
        <w:ind w:firstLine="560"/>
      </w:pPr>
      <w:r>
        <w:rPr>
          <w:rFonts w:hint="eastAsia"/>
        </w:rPr>
        <w:t>（</w:t>
      </w:r>
      <w:r>
        <w:t>2）场</w:t>
      </w:r>
      <w:r>
        <w:rPr>
          <w:rFonts w:hint="eastAsia"/>
        </w:rPr>
        <w:t>地</w:t>
      </w:r>
      <w:r>
        <w:t>整平时，应尽量避让或减少对重要设施如高压输电线网、管线等的干扰和影响</w:t>
      </w:r>
      <w:r>
        <w:rPr>
          <w:rFonts w:hint="eastAsia"/>
        </w:rPr>
        <w:t>，若避让不了，应改造迁移后再场地整平。</w:t>
      </w:r>
    </w:p>
    <w:p w14:paraId="4541128C">
      <w:pPr>
        <w:pStyle w:val="13"/>
        <w:ind w:firstLine="560"/>
      </w:pPr>
      <w:r>
        <w:rPr>
          <w:rFonts w:hint="eastAsia"/>
        </w:rPr>
        <w:t>（</w:t>
      </w:r>
      <w:r>
        <w:t>3）施工中做好临时</w:t>
      </w:r>
      <w:r>
        <w:rPr>
          <w:rFonts w:hint="eastAsia"/>
        </w:rPr>
        <w:t>防</w:t>
      </w:r>
      <w:r>
        <w:t>排水</w:t>
      </w:r>
      <w:r>
        <w:rPr>
          <w:rFonts w:hint="eastAsia"/>
        </w:rPr>
        <w:t>和临时边坡防护</w:t>
      </w:r>
      <w:r>
        <w:t>，</w:t>
      </w:r>
      <w:r>
        <w:rPr>
          <w:rFonts w:hint="eastAsia"/>
        </w:rPr>
        <w:t>施工用水应</w:t>
      </w:r>
      <w:r>
        <w:t>经过处理后，再排入自然水系。</w:t>
      </w:r>
    </w:p>
    <w:p w14:paraId="64E60C4E">
      <w:pPr>
        <w:pStyle w:val="13"/>
        <w:ind w:firstLine="560"/>
      </w:pPr>
      <w:r>
        <w:rPr>
          <w:rFonts w:hint="eastAsia"/>
        </w:rPr>
        <w:t>（</w:t>
      </w:r>
      <w:r>
        <w:t>4）取、弃土场做好排水</w:t>
      </w:r>
      <w:r>
        <w:rPr>
          <w:rFonts w:hint="eastAsia"/>
        </w:rPr>
        <w:t>、防护、绿化</w:t>
      </w:r>
      <w:r>
        <w:t>，严禁随意到处取、弃土。</w:t>
      </w:r>
    </w:p>
    <w:p w14:paraId="63148D1E">
      <w:pPr>
        <w:pStyle w:val="3"/>
        <w:spacing w:before="381" w:after="381"/>
      </w:pPr>
      <w:r>
        <w:rPr>
          <w:rFonts w:hint="eastAsia"/>
        </w:rPr>
        <w:t>注意事项</w:t>
      </w:r>
    </w:p>
    <w:p w14:paraId="7AF2B6E6">
      <w:pPr>
        <w:pStyle w:val="13"/>
        <w:ind w:firstLine="560"/>
      </w:pPr>
      <w:r>
        <w:rPr>
          <w:rFonts w:hint="eastAsia"/>
        </w:rPr>
        <w:t>（1）</w:t>
      </w:r>
      <w:r>
        <w:t>施工前，必须组织有关人员对实地作一次详细调查，对地下管线，空中管线等物，必须认真调查，走访当地居民，查清用地范围内及周边的所有管线等物，以免施工时，造成不必要的损失。</w:t>
      </w:r>
    </w:p>
    <w:p w14:paraId="48E380BB">
      <w:pPr>
        <w:pStyle w:val="13"/>
        <w:ind w:firstLine="560"/>
      </w:pPr>
      <w:r>
        <w:rPr>
          <w:rFonts w:hint="eastAsia"/>
        </w:rPr>
        <w:t>（</w:t>
      </w:r>
      <w:r>
        <w:t>2）施工前应按照实际要求进行场地放线，场地用地范围内的数目、灌木、杂草、种植物等均应在施工前砍伐或移植清理。</w:t>
      </w:r>
    </w:p>
    <w:p w14:paraId="381DE37E">
      <w:pPr>
        <w:pStyle w:val="13"/>
        <w:ind w:firstLine="560"/>
      </w:pPr>
      <w:r>
        <w:rPr>
          <w:rFonts w:hint="eastAsia"/>
        </w:rPr>
        <w:t>（</w:t>
      </w:r>
      <w:r>
        <w:t>3）机械开挖采用分层开挖，基底应预留一层100mm厚用人工清底找平，避免超挖和基底土遭受扰动，机械不能开挖的死角应用人工进行配合开挖。</w:t>
      </w:r>
    </w:p>
    <w:p w14:paraId="44D09CB7">
      <w:pPr>
        <w:pStyle w:val="13"/>
        <w:ind w:firstLine="560"/>
      </w:pPr>
      <w:r>
        <w:rPr>
          <w:rFonts w:hint="eastAsia"/>
        </w:rPr>
        <w:t>（</w:t>
      </w:r>
      <w:r>
        <w:t>4）草皮、生活垃圾、树根、腐残质的土严禁作为场区填料。回填料应经过室内试验满足规范要求。当回填土过湿时，应先晒干或掺入干土；过干时，则应洒水进行湿润，使填土保持在试验确定的最佳含水量范围内。</w:t>
      </w:r>
    </w:p>
    <w:p w14:paraId="43B2FB30">
      <w:pPr>
        <w:pStyle w:val="13"/>
        <w:ind w:firstLine="560"/>
      </w:pPr>
      <w:r>
        <w:rPr>
          <w:rFonts w:hint="eastAsia"/>
        </w:rPr>
        <w:t>（</w:t>
      </w:r>
      <w:r>
        <w:t>5）填方工程应分层铺土，分段填筑。</w:t>
      </w:r>
    </w:p>
    <w:p w14:paraId="6404473D">
      <w:pPr>
        <w:pStyle w:val="13"/>
        <w:ind w:firstLine="560"/>
      </w:pPr>
      <w:r>
        <w:rPr>
          <w:rFonts w:hint="eastAsia"/>
        </w:rPr>
        <w:t>（</w:t>
      </w:r>
      <w:r>
        <w:t>6）施工过程中，如有特殊情况或现状与设计出入较大时，请及时通知设计单位，会同业主、监理、施工单位现场处理。</w:t>
      </w:r>
    </w:p>
    <w:sectPr>
      <w:headerReference r:id="rId5" w:type="default"/>
      <w:footerReference r:id="rId6" w:type="default"/>
      <w:pgSz w:w="23811" w:h="16838" w:orient="landscape"/>
      <w:pgMar w:top="1440" w:right="1800" w:bottom="1440" w:left="1800" w:header="964" w:footer="57" w:gutter="0"/>
      <w:pgNumType w:start="1"/>
      <w:cols w:space="1413" w:num="2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7148621"/>
      <w:docPartObj>
        <w:docPartGallery w:val="autotext"/>
      </w:docPartObj>
    </w:sdtPr>
    <w:sdtEndPr>
      <w:rPr>
        <w:sz w:val="24"/>
        <w:szCs w:val="24"/>
      </w:rPr>
    </w:sdtEndPr>
    <w:sdtContent>
      <w:p w14:paraId="484D05EE">
        <w:pPr>
          <w:pStyle w:val="19"/>
          <w:ind w:left="1680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7</w:t>
        </w:r>
        <w:r>
          <w:rPr>
            <w:sz w:val="24"/>
            <w:szCs w:val="24"/>
          </w:rPr>
          <w:fldChar w:fldCharType="end"/>
        </w:r>
      </w:p>
    </w:sdtContent>
  </w:sdt>
  <w:p w14:paraId="624A19C0"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AB86A">
    <w:pPr>
      <w:pStyle w:val="20"/>
      <w:pBdr>
        <w:bottom w:val="none" w:color="auto" w:sz="0" w:space="0"/>
      </w:pBdr>
      <w:tabs>
        <w:tab w:val="right" w:pos="8640"/>
        <w:tab w:val="clear" w:pos="8306"/>
      </w:tabs>
      <w:ind w:right="-4"/>
      <w:jc w:val="left"/>
      <w:rPr>
        <w:rFonts w:hint="eastAsia" w:asciiTheme="minorEastAsia" w:hAnsiTheme="minorEastAsia" w:eastAsiaTheme="minorEastAsia"/>
        <w:sz w:val="24"/>
        <w:szCs w:val="24"/>
        <w:lang w:val="en-US" w:eastAsia="zh-CN"/>
      </w:rPr>
    </w:pPr>
    <w:r>
      <w:rPr>
        <w:rFonts w:hint="eastAsia" w:asciiTheme="minorEastAsia" w:hAnsiTheme="minorEastAsia" w:eastAsiaTheme="minorEastAsia"/>
        <w:sz w:val="24"/>
        <w:szCs w:val="24"/>
      </w:rPr>
      <w:t>平南县大成工业园开工企业地块土方平整工程</w:t>
    </w:r>
    <w:r>
      <w:rPr>
        <w:rFonts w:asciiTheme="minorEastAsia" w:hAnsiTheme="minorEastAsia" w:eastAsiaTheme="minorEastAsia"/>
        <w:sz w:val="24"/>
        <w:szCs w:val="24"/>
      </w:rPr>
      <w:t xml:space="preserve">                                                            </w:t>
    </w:r>
    <w:r>
      <w:rPr>
        <w:rFonts w:hint="eastAsia" w:asciiTheme="minorEastAsia" w:hAnsiTheme="minorEastAsia" w:eastAsiaTheme="minorEastAsia"/>
        <w:sz w:val="24"/>
        <w:szCs w:val="24"/>
        <w:lang w:val="en-US" w:eastAsia="zh-CN"/>
      </w:rPr>
      <w:t xml:space="preserve">   </w:t>
    </w:r>
    <w:r>
      <w:rPr>
        <w:rFonts w:asciiTheme="minorEastAsia" w:hAnsiTheme="minorEastAsia" w:eastAsiaTheme="minorEastAsia"/>
        <w:sz w:val="24"/>
        <w:szCs w:val="24"/>
      </w:rPr>
      <w:t xml:space="preserve">                                              </w:t>
    </w:r>
    <w:r>
      <w:rPr>
        <w:rFonts w:hint="eastAsia" w:asciiTheme="minorEastAsia" w:hAnsiTheme="minorEastAsia" w:eastAsiaTheme="minorEastAsia"/>
        <w:sz w:val="24"/>
        <w:szCs w:val="24"/>
      </w:rPr>
      <w:t>场平-</w:t>
    </w:r>
    <w:r>
      <w:rPr>
        <w:rFonts w:hint="eastAsia" w:asciiTheme="minorEastAsia" w:hAnsiTheme="minorEastAsia" w:eastAsiaTheme="minorEastAsia"/>
        <w:sz w:val="24"/>
        <w:szCs w:val="24"/>
        <w:lang w:val="en-US" w:eastAsia="zh-C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D2F56"/>
    <w:multiLevelType w:val="multilevel"/>
    <w:tmpl w:val="29ED2F56"/>
    <w:lvl w:ilvl="0" w:tentative="0">
      <w:start w:val="1"/>
      <w:numFmt w:val="decimal"/>
      <w:pStyle w:val="3"/>
      <w:suff w:val="space"/>
      <w:lvlText w:val="%1"/>
      <w:lvlJc w:val="left"/>
      <w:pPr>
        <w:ind w:left="0" w:firstLine="0"/>
      </w:pPr>
      <w:rPr>
        <w:rFonts w:hint="eastAsia"/>
        <w:color w:val="auto"/>
        <w:sz w:val="32"/>
      </w:rPr>
    </w:lvl>
    <w:lvl w:ilvl="1" w:tentative="0">
      <w:start w:val="1"/>
      <w:numFmt w:val="decimal"/>
      <w:pStyle w:val="4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5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70"/>
        </w:tabs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5MWZlZjY3NTFlYjJlMGYwMDYzMTIyNjNmOWQzYTMifQ=="/>
  </w:docVars>
  <w:rsids>
    <w:rsidRoot w:val="00172A27"/>
    <w:rsid w:val="000021E3"/>
    <w:rsid w:val="0000280F"/>
    <w:rsid w:val="000041FE"/>
    <w:rsid w:val="000042A3"/>
    <w:rsid w:val="0000536D"/>
    <w:rsid w:val="00005C00"/>
    <w:rsid w:val="000074CA"/>
    <w:rsid w:val="00011BEF"/>
    <w:rsid w:val="00012210"/>
    <w:rsid w:val="00014711"/>
    <w:rsid w:val="000150C8"/>
    <w:rsid w:val="00015160"/>
    <w:rsid w:val="00016775"/>
    <w:rsid w:val="00017ED7"/>
    <w:rsid w:val="00020BBE"/>
    <w:rsid w:val="0002115B"/>
    <w:rsid w:val="00023CAA"/>
    <w:rsid w:val="00023D9D"/>
    <w:rsid w:val="00024C82"/>
    <w:rsid w:val="00025130"/>
    <w:rsid w:val="00030089"/>
    <w:rsid w:val="00030619"/>
    <w:rsid w:val="000316AE"/>
    <w:rsid w:val="00032772"/>
    <w:rsid w:val="000339C1"/>
    <w:rsid w:val="00034DD3"/>
    <w:rsid w:val="0003632D"/>
    <w:rsid w:val="00040239"/>
    <w:rsid w:val="00042686"/>
    <w:rsid w:val="00042BE2"/>
    <w:rsid w:val="00044BC0"/>
    <w:rsid w:val="00045AAB"/>
    <w:rsid w:val="00045D1D"/>
    <w:rsid w:val="00046C56"/>
    <w:rsid w:val="00047A47"/>
    <w:rsid w:val="000504DA"/>
    <w:rsid w:val="00050CBC"/>
    <w:rsid w:val="00051C17"/>
    <w:rsid w:val="00053EA9"/>
    <w:rsid w:val="00054625"/>
    <w:rsid w:val="000547F3"/>
    <w:rsid w:val="00054BBF"/>
    <w:rsid w:val="00057AA4"/>
    <w:rsid w:val="00062473"/>
    <w:rsid w:val="00062497"/>
    <w:rsid w:val="00062C21"/>
    <w:rsid w:val="00063F97"/>
    <w:rsid w:val="00065193"/>
    <w:rsid w:val="00065D1C"/>
    <w:rsid w:val="00065D6B"/>
    <w:rsid w:val="00066663"/>
    <w:rsid w:val="000667BD"/>
    <w:rsid w:val="00066B7B"/>
    <w:rsid w:val="00067472"/>
    <w:rsid w:val="00067613"/>
    <w:rsid w:val="000709E5"/>
    <w:rsid w:val="0007246F"/>
    <w:rsid w:val="00072640"/>
    <w:rsid w:val="00073D3E"/>
    <w:rsid w:val="0007423C"/>
    <w:rsid w:val="0008005C"/>
    <w:rsid w:val="00085728"/>
    <w:rsid w:val="000865AC"/>
    <w:rsid w:val="00087171"/>
    <w:rsid w:val="00087179"/>
    <w:rsid w:val="00091A97"/>
    <w:rsid w:val="0009490F"/>
    <w:rsid w:val="00094E0E"/>
    <w:rsid w:val="00096A89"/>
    <w:rsid w:val="00097970"/>
    <w:rsid w:val="000A3256"/>
    <w:rsid w:val="000A441E"/>
    <w:rsid w:val="000A54D8"/>
    <w:rsid w:val="000A6A82"/>
    <w:rsid w:val="000A6C89"/>
    <w:rsid w:val="000B0151"/>
    <w:rsid w:val="000B2301"/>
    <w:rsid w:val="000B3AF2"/>
    <w:rsid w:val="000B4DCA"/>
    <w:rsid w:val="000C054D"/>
    <w:rsid w:val="000C311D"/>
    <w:rsid w:val="000C3594"/>
    <w:rsid w:val="000C6F46"/>
    <w:rsid w:val="000C734B"/>
    <w:rsid w:val="000C7F15"/>
    <w:rsid w:val="000D68D9"/>
    <w:rsid w:val="000D7E62"/>
    <w:rsid w:val="000E1C91"/>
    <w:rsid w:val="000E337C"/>
    <w:rsid w:val="000F176F"/>
    <w:rsid w:val="000F1AA9"/>
    <w:rsid w:val="000F1C3E"/>
    <w:rsid w:val="000F3B89"/>
    <w:rsid w:val="00101ED1"/>
    <w:rsid w:val="00104579"/>
    <w:rsid w:val="001050C7"/>
    <w:rsid w:val="00105AA4"/>
    <w:rsid w:val="001128F9"/>
    <w:rsid w:val="0011363C"/>
    <w:rsid w:val="001150AC"/>
    <w:rsid w:val="0012074B"/>
    <w:rsid w:val="001237FB"/>
    <w:rsid w:val="00124316"/>
    <w:rsid w:val="0012721F"/>
    <w:rsid w:val="00127C75"/>
    <w:rsid w:val="00130D40"/>
    <w:rsid w:val="001321B9"/>
    <w:rsid w:val="00132FAD"/>
    <w:rsid w:val="00133051"/>
    <w:rsid w:val="00134257"/>
    <w:rsid w:val="00135F66"/>
    <w:rsid w:val="00141361"/>
    <w:rsid w:val="001418F8"/>
    <w:rsid w:val="00143C1F"/>
    <w:rsid w:val="00144C0B"/>
    <w:rsid w:val="00146E04"/>
    <w:rsid w:val="00150AE3"/>
    <w:rsid w:val="00152943"/>
    <w:rsid w:val="00154F2B"/>
    <w:rsid w:val="0015560C"/>
    <w:rsid w:val="001559E0"/>
    <w:rsid w:val="00155AE9"/>
    <w:rsid w:val="00163187"/>
    <w:rsid w:val="00164971"/>
    <w:rsid w:val="001667ED"/>
    <w:rsid w:val="00167DD1"/>
    <w:rsid w:val="0017076A"/>
    <w:rsid w:val="00171FDB"/>
    <w:rsid w:val="00172A27"/>
    <w:rsid w:val="00172C7A"/>
    <w:rsid w:val="00175013"/>
    <w:rsid w:val="00182B5C"/>
    <w:rsid w:val="00182CF6"/>
    <w:rsid w:val="00182E66"/>
    <w:rsid w:val="00184484"/>
    <w:rsid w:val="00186D85"/>
    <w:rsid w:val="00187133"/>
    <w:rsid w:val="00187CBD"/>
    <w:rsid w:val="0019380D"/>
    <w:rsid w:val="00195113"/>
    <w:rsid w:val="0019657B"/>
    <w:rsid w:val="001973DE"/>
    <w:rsid w:val="001A01F3"/>
    <w:rsid w:val="001A24EC"/>
    <w:rsid w:val="001A28D8"/>
    <w:rsid w:val="001A43F1"/>
    <w:rsid w:val="001A4595"/>
    <w:rsid w:val="001A6453"/>
    <w:rsid w:val="001B09C3"/>
    <w:rsid w:val="001B130D"/>
    <w:rsid w:val="001B1A67"/>
    <w:rsid w:val="001B3219"/>
    <w:rsid w:val="001B5F96"/>
    <w:rsid w:val="001B6AB3"/>
    <w:rsid w:val="001B7F14"/>
    <w:rsid w:val="001C0FAC"/>
    <w:rsid w:val="001C2301"/>
    <w:rsid w:val="001C2E2C"/>
    <w:rsid w:val="001C31AD"/>
    <w:rsid w:val="001C4DA6"/>
    <w:rsid w:val="001C509A"/>
    <w:rsid w:val="001C6FBC"/>
    <w:rsid w:val="001D1592"/>
    <w:rsid w:val="001D1DB7"/>
    <w:rsid w:val="001D3F42"/>
    <w:rsid w:val="001D4993"/>
    <w:rsid w:val="001D5579"/>
    <w:rsid w:val="001D6326"/>
    <w:rsid w:val="001D77D1"/>
    <w:rsid w:val="001D793B"/>
    <w:rsid w:val="001D7CC3"/>
    <w:rsid w:val="001E1400"/>
    <w:rsid w:val="001E1627"/>
    <w:rsid w:val="001E2A27"/>
    <w:rsid w:val="001E2C2C"/>
    <w:rsid w:val="001E3158"/>
    <w:rsid w:val="001E3740"/>
    <w:rsid w:val="001F0540"/>
    <w:rsid w:val="001F0A38"/>
    <w:rsid w:val="001F2ABC"/>
    <w:rsid w:val="001F348D"/>
    <w:rsid w:val="001F350D"/>
    <w:rsid w:val="001F6288"/>
    <w:rsid w:val="001F7027"/>
    <w:rsid w:val="00200555"/>
    <w:rsid w:val="00202BC6"/>
    <w:rsid w:val="00202CFD"/>
    <w:rsid w:val="002034CE"/>
    <w:rsid w:val="00203D00"/>
    <w:rsid w:val="00203E20"/>
    <w:rsid w:val="002045CC"/>
    <w:rsid w:val="00206712"/>
    <w:rsid w:val="0021153A"/>
    <w:rsid w:val="002115F1"/>
    <w:rsid w:val="00211A00"/>
    <w:rsid w:val="00212D32"/>
    <w:rsid w:val="002135E9"/>
    <w:rsid w:val="0021409A"/>
    <w:rsid w:val="0021522B"/>
    <w:rsid w:val="00225BAF"/>
    <w:rsid w:val="00227794"/>
    <w:rsid w:val="00230124"/>
    <w:rsid w:val="00231245"/>
    <w:rsid w:val="0023153A"/>
    <w:rsid w:val="002325A1"/>
    <w:rsid w:val="00232B13"/>
    <w:rsid w:val="00240E5A"/>
    <w:rsid w:val="002410D0"/>
    <w:rsid w:val="002431AF"/>
    <w:rsid w:val="00243858"/>
    <w:rsid w:val="00243CDF"/>
    <w:rsid w:val="0024498C"/>
    <w:rsid w:val="00245BF3"/>
    <w:rsid w:val="00246A21"/>
    <w:rsid w:val="00247E9A"/>
    <w:rsid w:val="002519C5"/>
    <w:rsid w:val="00252EFB"/>
    <w:rsid w:val="002555F7"/>
    <w:rsid w:val="00255E72"/>
    <w:rsid w:val="002601D5"/>
    <w:rsid w:val="002604CF"/>
    <w:rsid w:val="00261B0A"/>
    <w:rsid w:val="00262775"/>
    <w:rsid w:val="002669C6"/>
    <w:rsid w:val="00270650"/>
    <w:rsid w:val="002709B9"/>
    <w:rsid w:val="002730FD"/>
    <w:rsid w:val="002734FA"/>
    <w:rsid w:val="00275CA4"/>
    <w:rsid w:val="00276E91"/>
    <w:rsid w:val="00277A61"/>
    <w:rsid w:val="00277F4E"/>
    <w:rsid w:val="0028070A"/>
    <w:rsid w:val="00281712"/>
    <w:rsid w:val="00285694"/>
    <w:rsid w:val="00290B64"/>
    <w:rsid w:val="00293116"/>
    <w:rsid w:val="002946D4"/>
    <w:rsid w:val="0029558D"/>
    <w:rsid w:val="002955AC"/>
    <w:rsid w:val="002978A8"/>
    <w:rsid w:val="002A15E1"/>
    <w:rsid w:val="002A29ED"/>
    <w:rsid w:val="002A5517"/>
    <w:rsid w:val="002B01AD"/>
    <w:rsid w:val="002B2199"/>
    <w:rsid w:val="002B3FCA"/>
    <w:rsid w:val="002B4FBE"/>
    <w:rsid w:val="002C0BD5"/>
    <w:rsid w:val="002C1A92"/>
    <w:rsid w:val="002C1DEE"/>
    <w:rsid w:val="002C2825"/>
    <w:rsid w:val="002C610C"/>
    <w:rsid w:val="002D01EE"/>
    <w:rsid w:val="002D17B3"/>
    <w:rsid w:val="002D2944"/>
    <w:rsid w:val="002D325D"/>
    <w:rsid w:val="002D58E7"/>
    <w:rsid w:val="002D6B4D"/>
    <w:rsid w:val="002E0DBE"/>
    <w:rsid w:val="002E1C7A"/>
    <w:rsid w:val="002E2680"/>
    <w:rsid w:val="002E4584"/>
    <w:rsid w:val="002E51D8"/>
    <w:rsid w:val="002E5F7B"/>
    <w:rsid w:val="002E792F"/>
    <w:rsid w:val="002F08C1"/>
    <w:rsid w:val="002F16C6"/>
    <w:rsid w:val="002F21E9"/>
    <w:rsid w:val="002F2295"/>
    <w:rsid w:val="002F2973"/>
    <w:rsid w:val="002F7024"/>
    <w:rsid w:val="002F7CD3"/>
    <w:rsid w:val="00302662"/>
    <w:rsid w:val="003054E5"/>
    <w:rsid w:val="003065BE"/>
    <w:rsid w:val="00317CDC"/>
    <w:rsid w:val="00321375"/>
    <w:rsid w:val="0032138E"/>
    <w:rsid w:val="00321BAC"/>
    <w:rsid w:val="003234C2"/>
    <w:rsid w:val="0032508A"/>
    <w:rsid w:val="003277A5"/>
    <w:rsid w:val="003305D2"/>
    <w:rsid w:val="00331653"/>
    <w:rsid w:val="003322CD"/>
    <w:rsid w:val="00333EB9"/>
    <w:rsid w:val="003349C1"/>
    <w:rsid w:val="003359E4"/>
    <w:rsid w:val="003363D8"/>
    <w:rsid w:val="00341E8E"/>
    <w:rsid w:val="00342337"/>
    <w:rsid w:val="00342D3B"/>
    <w:rsid w:val="00345180"/>
    <w:rsid w:val="003462CE"/>
    <w:rsid w:val="003475DA"/>
    <w:rsid w:val="00351454"/>
    <w:rsid w:val="003553C8"/>
    <w:rsid w:val="00361E92"/>
    <w:rsid w:val="00361FCB"/>
    <w:rsid w:val="003621B5"/>
    <w:rsid w:val="0036623D"/>
    <w:rsid w:val="00371C8F"/>
    <w:rsid w:val="00374979"/>
    <w:rsid w:val="003763E8"/>
    <w:rsid w:val="0037767D"/>
    <w:rsid w:val="00377B58"/>
    <w:rsid w:val="003806AB"/>
    <w:rsid w:val="003813B9"/>
    <w:rsid w:val="00382315"/>
    <w:rsid w:val="003850DF"/>
    <w:rsid w:val="00385A92"/>
    <w:rsid w:val="003878ED"/>
    <w:rsid w:val="00387981"/>
    <w:rsid w:val="00390812"/>
    <w:rsid w:val="00390879"/>
    <w:rsid w:val="003910D0"/>
    <w:rsid w:val="0039381D"/>
    <w:rsid w:val="00395282"/>
    <w:rsid w:val="003959E7"/>
    <w:rsid w:val="00397580"/>
    <w:rsid w:val="00397DDF"/>
    <w:rsid w:val="003A12B4"/>
    <w:rsid w:val="003A274F"/>
    <w:rsid w:val="003A31A2"/>
    <w:rsid w:val="003A3E6A"/>
    <w:rsid w:val="003A45A4"/>
    <w:rsid w:val="003A4891"/>
    <w:rsid w:val="003A5635"/>
    <w:rsid w:val="003A6B84"/>
    <w:rsid w:val="003B13ED"/>
    <w:rsid w:val="003B7291"/>
    <w:rsid w:val="003B7A2D"/>
    <w:rsid w:val="003B7B14"/>
    <w:rsid w:val="003C05F0"/>
    <w:rsid w:val="003C0B6C"/>
    <w:rsid w:val="003C14C0"/>
    <w:rsid w:val="003C16E6"/>
    <w:rsid w:val="003C2D09"/>
    <w:rsid w:val="003C35E9"/>
    <w:rsid w:val="003C40B3"/>
    <w:rsid w:val="003C7231"/>
    <w:rsid w:val="003C7797"/>
    <w:rsid w:val="003C7837"/>
    <w:rsid w:val="003D0D03"/>
    <w:rsid w:val="003D0EAF"/>
    <w:rsid w:val="003D10AE"/>
    <w:rsid w:val="003D244F"/>
    <w:rsid w:val="003D3913"/>
    <w:rsid w:val="003D4FC5"/>
    <w:rsid w:val="003D68BE"/>
    <w:rsid w:val="003E0E2D"/>
    <w:rsid w:val="003E12E0"/>
    <w:rsid w:val="003E4B05"/>
    <w:rsid w:val="003E4DDA"/>
    <w:rsid w:val="003E65FD"/>
    <w:rsid w:val="003E7F28"/>
    <w:rsid w:val="003F05A2"/>
    <w:rsid w:val="003F10C0"/>
    <w:rsid w:val="003F27A2"/>
    <w:rsid w:val="003F2DE5"/>
    <w:rsid w:val="003F3FA3"/>
    <w:rsid w:val="003F456E"/>
    <w:rsid w:val="003F62F1"/>
    <w:rsid w:val="00404259"/>
    <w:rsid w:val="004066F8"/>
    <w:rsid w:val="00406B6D"/>
    <w:rsid w:val="00410383"/>
    <w:rsid w:val="0041107F"/>
    <w:rsid w:val="00411A61"/>
    <w:rsid w:val="004135EC"/>
    <w:rsid w:val="00414385"/>
    <w:rsid w:val="0041511F"/>
    <w:rsid w:val="0041583F"/>
    <w:rsid w:val="00417E27"/>
    <w:rsid w:val="004223FD"/>
    <w:rsid w:val="00423678"/>
    <w:rsid w:val="004239AD"/>
    <w:rsid w:val="004267A8"/>
    <w:rsid w:val="00426948"/>
    <w:rsid w:val="004275AE"/>
    <w:rsid w:val="0043031E"/>
    <w:rsid w:val="004326A9"/>
    <w:rsid w:val="004330D3"/>
    <w:rsid w:val="004349B0"/>
    <w:rsid w:val="004349E0"/>
    <w:rsid w:val="00434CBD"/>
    <w:rsid w:val="00435F95"/>
    <w:rsid w:val="004367E8"/>
    <w:rsid w:val="0043704B"/>
    <w:rsid w:val="00440E8E"/>
    <w:rsid w:val="00444581"/>
    <w:rsid w:val="0045065A"/>
    <w:rsid w:val="00450AA1"/>
    <w:rsid w:val="004531D4"/>
    <w:rsid w:val="0045416A"/>
    <w:rsid w:val="004557AC"/>
    <w:rsid w:val="004562F3"/>
    <w:rsid w:val="00457601"/>
    <w:rsid w:val="00457CBF"/>
    <w:rsid w:val="00457D59"/>
    <w:rsid w:val="004600E2"/>
    <w:rsid w:val="00460125"/>
    <w:rsid w:val="0046362E"/>
    <w:rsid w:val="004636E6"/>
    <w:rsid w:val="00463A22"/>
    <w:rsid w:val="00463E42"/>
    <w:rsid w:val="0046677B"/>
    <w:rsid w:val="00470522"/>
    <w:rsid w:val="00471347"/>
    <w:rsid w:val="0047497A"/>
    <w:rsid w:val="00474FEE"/>
    <w:rsid w:val="004750BC"/>
    <w:rsid w:val="00475370"/>
    <w:rsid w:val="004775FA"/>
    <w:rsid w:val="0048458D"/>
    <w:rsid w:val="0048780A"/>
    <w:rsid w:val="00487D0A"/>
    <w:rsid w:val="00490328"/>
    <w:rsid w:val="0049134F"/>
    <w:rsid w:val="00492A06"/>
    <w:rsid w:val="00492D5E"/>
    <w:rsid w:val="00493556"/>
    <w:rsid w:val="00494603"/>
    <w:rsid w:val="00495093"/>
    <w:rsid w:val="00496A0B"/>
    <w:rsid w:val="004A1041"/>
    <w:rsid w:val="004A10DE"/>
    <w:rsid w:val="004A1BF0"/>
    <w:rsid w:val="004A3C99"/>
    <w:rsid w:val="004A40DD"/>
    <w:rsid w:val="004A49C7"/>
    <w:rsid w:val="004B1A02"/>
    <w:rsid w:val="004B38DD"/>
    <w:rsid w:val="004B4AA1"/>
    <w:rsid w:val="004B4CB7"/>
    <w:rsid w:val="004B5A9B"/>
    <w:rsid w:val="004C1944"/>
    <w:rsid w:val="004C19BD"/>
    <w:rsid w:val="004C5642"/>
    <w:rsid w:val="004C6CFA"/>
    <w:rsid w:val="004C790E"/>
    <w:rsid w:val="004D0179"/>
    <w:rsid w:val="004D2E8A"/>
    <w:rsid w:val="004D32B5"/>
    <w:rsid w:val="004D4DB1"/>
    <w:rsid w:val="004D6DCE"/>
    <w:rsid w:val="004E1CC3"/>
    <w:rsid w:val="004E4DA1"/>
    <w:rsid w:val="004E6A36"/>
    <w:rsid w:val="004E711E"/>
    <w:rsid w:val="004E73BB"/>
    <w:rsid w:val="004F018F"/>
    <w:rsid w:val="004F0D1A"/>
    <w:rsid w:val="004F151D"/>
    <w:rsid w:val="004F20F4"/>
    <w:rsid w:val="004F636C"/>
    <w:rsid w:val="00502E26"/>
    <w:rsid w:val="005037E7"/>
    <w:rsid w:val="0050386E"/>
    <w:rsid w:val="005066C1"/>
    <w:rsid w:val="005102B0"/>
    <w:rsid w:val="005120B9"/>
    <w:rsid w:val="0051314A"/>
    <w:rsid w:val="005133AC"/>
    <w:rsid w:val="00524218"/>
    <w:rsid w:val="005249B3"/>
    <w:rsid w:val="00531471"/>
    <w:rsid w:val="00537C91"/>
    <w:rsid w:val="00537FF9"/>
    <w:rsid w:val="005427BD"/>
    <w:rsid w:val="00542EB0"/>
    <w:rsid w:val="00542EC7"/>
    <w:rsid w:val="005479B6"/>
    <w:rsid w:val="00554365"/>
    <w:rsid w:val="0055576A"/>
    <w:rsid w:val="005563FC"/>
    <w:rsid w:val="00561F77"/>
    <w:rsid w:val="0056420F"/>
    <w:rsid w:val="00564720"/>
    <w:rsid w:val="005653C7"/>
    <w:rsid w:val="005664C6"/>
    <w:rsid w:val="00566B71"/>
    <w:rsid w:val="00566E53"/>
    <w:rsid w:val="005702F6"/>
    <w:rsid w:val="00570687"/>
    <w:rsid w:val="0057456D"/>
    <w:rsid w:val="00574F79"/>
    <w:rsid w:val="00575C50"/>
    <w:rsid w:val="0057696E"/>
    <w:rsid w:val="00577EF7"/>
    <w:rsid w:val="0058085B"/>
    <w:rsid w:val="00584A51"/>
    <w:rsid w:val="00585C3B"/>
    <w:rsid w:val="00586B65"/>
    <w:rsid w:val="00586EE7"/>
    <w:rsid w:val="00590BEB"/>
    <w:rsid w:val="005917D7"/>
    <w:rsid w:val="00591BBA"/>
    <w:rsid w:val="005935FE"/>
    <w:rsid w:val="0059651A"/>
    <w:rsid w:val="00596A60"/>
    <w:rsid w:val="00597B7B"/>
    <w:rsid w:val="005A251B"/>
    <w:rsid w:val="005A3478"/>
    <w:rsid w:val="005A3807"/>
    <w:rsid w:val="005A3D62"/>
    <w:rsid w:val="005A3EA0"/>
    <w:rsid w:val="005A4006"/>
    <w:rsid w:val="005A5D46"/>
    <w:rsid w:val="005A78B4"/>
    <w:rsid w:val="005B04F4"/>
    <w:rsid w:val="005B1602"/>
    <w:rsid w:val="005B1FA3"/>
    <w:rsid w:val="005B3E2E"/>
    <w:rsid w:val="005B417E"/>
    <w:rsid w:val="005B4B28"/>
    <w:rsid w:val="005B6399"/>
    <w:rsid w:val="005B641A"/>
    <w:rsid w:val="005B6DEF"/>
    <w:rsid w:val="005B772F"/>
    <w:rsid w:val="005B799F"/>
    <w:rsid w:val="005C0F97"/>
    <w:rsid w:val="005C1349"/>
    <w:rsid w:val="005C2AE0"/>
    <w:rsid w:val="005C5279"/>
    <w:rsid w:val="005C5C24"/>
    <w:rsid w:val="005C62CB"/>
    <w:rsid w:val="005C6E27"/>
    <w:rsid w:val="005C6E79"/>
    <w:rsid w:val="005D0F4A"/>
    <w:rsid w:val="005D2242"/>
    <w:rsid w:val="005D3367"/>
    <w:rsid w:val="005D5904"/>
    <w:rsid w:val="005D78B1"/>
    <w:rsid w:val="005D7B00"/>
    <w:rsid w:val="005E194B"/>
    <w:rsid w:val="005E32A2"/>
    <w:rsid w:val="005E4393"/>
    <w:rsid w:val="005F0244"/>
    <w:rsid w:val="005F0BEB"/>
    <w:rsid w:val="005F1CA1"/>
    <w:rsid w:val="005F1EB5"/>
    <w:rsid w:val="005F207A"/>
    <w:rsid w:val="005F38CC"/>
    <w:rsid w:val="005F3E26"/>
    <w:rsid w:val="005F44CF"/>
    <w:rsid w:val="005F466B"/>
    <w:rsid w:val="00601037"/>
    <w:rsid w:val="006012C3"/>
    <w:rsid w:val="00601DC1"/>
    <w:rsid w:val="00603761"/>
    <w:rsid w:val="00603B2E"/>
    <w:rsid w:val="00605E5C"/>
    <w:rsid w:val="00606BA9"/>
    <w:rsid w:val="00612551"/>
    <w:rsid w:val="0061529F"/>
    <w:rsid w:val="00615433"/>
    <w:rsid w:val="00620A07"/>
    <w:rsid w:val="00620BBA"/>
    <w:rsid w:val="006217D3"/>
    <w:rsid w:val="00621991"/>
    <w:rsid w:val="00622844"/>
    <w:rsid w:val="006233A3"/>
    <w:rsid w:val="00623972"/>
    <w:rsid w:val="006245B1"/>
    <w:rsid w:val="0062525A"/>
    <w:rsid w:val="00626638"/>
    <w:rsid w:val="0063236D"/>
    <w:rsid w:val="00632EF7"/>
    <w:rsid w:val="00633E06"/>
    <w:rsid w:val="00636166"/>
    <w:rsid w:val="00636D7D"/>
    <w:rsid w:val="00636E72"/>
    <w:rsid w:val="006374F1"/>
    <w:rsid w:val="006400D5"/>
    <w:rsid w:val="006406F9"/>
    <w:rsid w:val="006410F3"/>
    <w:rsid w:val="00641605"/>
    <w:rsid w:val="006419EC"/>
    <w:rsid w:val="00642B50"/>
    <w:rsid w:val="00643D38"/>
    <w:rsid w:val="00644257"/>
    <w:rsid w:val="006452C0"/>
    <w:rsid w:val="00645983"/>
    <w:rsid w:val="006506BB"/>
    <w:rsid w:val="00651BD9"/>
    <w:rsid w:val="00652526"/>
    <w:rsid w:val="00655155"/>
    <w:rsid w:val="00655378"/>
    <w:rsid w:val="006575FD"/>
    <w:rsid w:val="006620F8"/>
    <w:rsid w:val="006621B5"/>
    <w:rsid w:val="00662BF5"/>
    <w:rsid w:val="006644BF"/>
    <w:rsid w:val="00665617"/>
    <w:rsid w:val="006747D1"/>
    <w:rsid w:val="00675FA6"/>
    <w:rsid w:val="00680386"/>
    <w:rsid w:val="00680975"/>
    <w:rsid w:val="00680B90"/>
    <w:rsid w:val="0068103C"/>
    <w:rsid w:val="00682189"/>
    <w:rsid w:val="006828BF"/>
    <w:rsid w:val="00682F65"/>
    <w:rsid w:val="00683EB9"/>
    <w:rsid w:val="006853E5"/>
    <w:rsid w:val="00685B71"/>
    <w:rsid w:val="00690597"/>
    <w:rsid w:val="006922FD"/>
    <w:rsid w:val="0069231C"/>
    <w:rsid w:val="00692323"/>
    <w:rsid w:val="00694499"/>
    <w:rsid w:val="00695634"/>
    <w:rsid w:val="00695A8F"/>
    <w:rsid w:val="00695BDA"/>
    <w:rsid w:val="00695FF9"/>
    <w:rsid w:val="006968F6"/>
    <w:rsid w:val="00697311"/>
    <w:rsid w:val="00697723"/>
    <w:rsid w:val="00697D54"/>
    <w:rsid w:val="006A78A1"/>
    <w:rsid w:val="006B0038"/>
    <w:rsid w:val="006B057F"/>
    <w:rsid w:val="006B10A5"/>
    <w:rsid w:val="006B2D11"/>
    <w:rsid w:val="006B526B"/>
    <w:rsid w:val="006B54AD"/>
    <w:rsid w:val="006B78BC"/>
    <w:rsid w:val="006C16DD"/>
    <w:rsid w:val="006C360F"/>
    <w:rsid w:val="006C364E"/>
    <w:rsid w:val="006C55D8"/>
    <w:rsid w:val="006C69C9"/>
    <w:rsid w:val="006C7790"/>
    <w:rsid w:val="006D1177"/>
    <w:rsid w:val="006D531F"/>
    <w:rsid w:val="006D5A97"/>
    <w:rsid w:val="006D5AE1"/>
    <w:rsid w:val="006D6046"/>
    <w:rsid w:val="006D621B"/>
    <w:rsid w:val="006D671E"/>
    <w:rsid w:val="006D7B89"/>
    <w:rsid w:val="006E04EB"/>
    <w:rsid w:val="006E0EF8"/>
    <w:rsid w:val="006E333F"/>
    <w:rsid w:val="006E79D6"/>
    <w:rsid w:val="006F0582"/>
    <w:rsid w:val="006F1901"/>
    <w:rsid w:val="006F2E7A"/>
    <w:rsid w:val="006F3ADE"/>
    <w:rsid w:val="006F4183"/>
    <w:rsid w:val="006F43CD"/>
    <w:rsid w:val="006F4EE1"/>
    <w:rsid w:val="006F5892"/>
    <w:rsid w:val="006F5CC1"/>
    <w:rsid w:val="00701596"/>
    <w:rsid w:val="00702831"/>
    <w:rsid w:val="00702ADE"/>
    <w:rsid w:val="00702F19"/>
    <w:rsid w:val="0070417D"/>
    <w:rsid w:val="00704CFB"/>
    <w:rsid w:val="007058F5"/>
    <w:rsid w:val="0070609D"/>
    <w:rsid w:val="0071280D"/>
    <w:rsid w:val="00713086"/>
    <w:rsid w:val="00713E1D"/>
    <w:rsid w:val="00713E5C"/>
    <w:rsid w:val="00714A4B"/>
    <w:rsid w:val="00720DBE"/>
    <w:rsid w:val="007210EA"/>
    <w:rsid w:val="00721259"/>
    <w:rsid w:val="007216D5"/>
    <w:rsid w:val="0072349C"/>
    <w:rsid w:val="00724DCB"/>
    <w:rsid w:val="007266DE"/>
    <w:rsid w:val="00730B63"/>
    <w:rsid w:val="00731116"/>
    <w:rsid w:val="00733467"/>
    <w:rsid w:val="00733696"/>
    <w:rsid w:val="00733BCB"/>
    <w:rsid w:val="00733E6E"/>
    <w:rsid w:val="00734C6E"/>
    <w:rsid w:val="00734D19"/>
    <w:rsid w:val="0074014F"/>
    <w:rsid w:val="00740D27"/>
    <w:rsid w:val="00742D3C"/>
    <w:rsid w:val="00743EF5"/>
    <w:rsid w:val="00744099"/>
    <w:rsid w:val="0074486C"/>
    <w:rsid w:val="00746FF0"/>
    <w:rsid w:val="00747731"/>
    <w:rsid w:val="00750952"/>
    <w:rsid w:val="007517E4"/>
    <w:rsid w:val="00754618"/>
    <w:rsid w:val="00756F9B"/>
    <w:rsid w:val="00763784"/>
    <w:rsid w:val="0076538C"/>
    <w:rsid w:val="00765610"/>
    <w:rsid w:val="007660E1"/>
    <w:rsid w:val="007667B2"/>
    <w:rsid w:val="007671A6"/>
    <w:rsid w:val="00767CFA"/>
    <w:rsid w:val="00771CD3"/>
    <w:rsid w:val="007726C3"/>
    <w:rsid w:val="00773133"/>
    <w:rsid w:val="00774BAA"/>
    <w:rsid w:val="007764A0"/>
    <w:rsid w:val="00777AE4"/>
    <w:rsid w:val="00780351"/>
    <w:rsid w:val="00782310"/>
    <w:rsid w:val="00782B0B"/>
    <w:rsid w:val="00782BF4"/>
    <w:rsid w:val="00783A00"/>
    <w:rsid w:val="00784573"/>
    <w:rsid w:val="00785B1B"/>
    <w:rsid w:val="00786C89"/>
    <w:rsid w:val="00786D91"/>
    <w:rsid w:val="00790B28"/>
    <w:rsid w:val="00792229"/>
    <w:rsid w:val="00795503"/>
    <w:rsid w:val="00796B6B"/>
    <w:rsid w:val="007A0058"/>
    <w:rsid w:val="007A1B00"/>
    <w:rsid w:val="007A1E56"/>
    <w:rsid w:val="007A2421"/>
    <w:rsid w:val="007A44A7"/>
    <w:rsid w:val="007A5938"/>
    <w:rsid w:val="007A76A5"/>
    <w:rsid w:val="007B0B02"/>
    <w:rsid w:val="007B5D83"/>
    <w:rsid w:val="007B7433"/>
    <w:rsid w:val="007C0208"/>
    <w:rsid w:val="007C0EB3"/>
    <w:rsid w:val="007C1466"/>
    <w:rsid w:val="007C15AB"/>
    <w:rsid w:val="007D0E3B"/>
    <w:rsid w:val="007D1583"/>
    <w:rsid w:val="007D25D4"/>
    <w:rsid w:val="007D2850"/>
    <w:rsid w:val="007D307E"/>
    <w:rsid w:val="007D5806"/>
    <w:rsid w:val="007D5DC7"/>
    <w:rsid w:val="007D605B"/>
    <w:rsid w:val="007D7BEB"/>
    <w:rsid w:val="007E250F"/>
    <w:rsid w:val="007E34C8"/>
    <w:rsid w:val="007E458F"/>
    <w:rsid w:val="007E63BD"/>
    <w:rsid w:val="007E6406"/>
    <w:rsid w:val="007F0A60"/>
    <w:rsid w:val="007F0ADB"/>
    <w:rsid w:val="007F1EA0"/>
    <w:rsid w:val="007F50EF"/>
    <w:rsid w:val="007F674C"/>
    <w:rsid w:val="007F6B2C"/>
    <w:rsid w:val="007F78D4"/>
    <w:rsid w:val="0080231B"/>
    <w:rsid w:val="00803326"/>
    <w:rsid w:val="00803F27"/>
    <w:rsid w:val="0080795B"/>
    <w:rsid w:val="00807BD6"/>
    <w:rsid w:val="00810BA3"/>
    <w:rsid w:val="008120E4"/>
    <w:rsid w:val="0081285B"/>
    <w:rsid w:val="00813685"/>
    <w:rsid w:val="00814E71"/>
    <w:rsid w:val="00821C8F"/>
    <w:rsid w:val="00822665"/>
    <w:rsid w:val="0082469A"/>
    <w:rsid w:val="008247DC"/>
    <w:rsid w:val="0082631E"/>
    <w:rsid w:val="00826EB9"/>
    <w:rsid w:val="00827D4B"/>
    <w:rsid w:val="00831E97"/>
    <w:rsid w:val="00836372"/>
    <w:rsid w:val="00841D5D"/>
    <w:rsid w:val="00842D2C"/>
    <w:rsid w:val="00842F15"/>
    <w:rsid w:val="0084443C"/>
    <w:rsid w:val="00845644"/>
    <w:rsid w:val="008501D1"/>
    <w:rsid w:val="00850ECE"/>
    <w:rsid w:val="008535D0"/>
    <w:rsid w:val="008539FF"/>
    <w:rsid w:val="008609B0"/>
    <w:rsid w:val="00865559"/>
    <w:rsid w:val="0086776F"/>
    <w:rsid w:val="00871D4A"/>
    <w:rsid w:val="0087215F"/>
    <w:rsid w:val="00873E7A"/>
    <w:rsid w:val="00876C7F"/>
    <w:rsid w:val="00876E2F"/>
    <w:rsid w:val="008809E6"/>
    <w:rsid w:val="0088102E"/>
    <w:rsid w:val="00883C5E"/>
    <w:rsid w:val="008844DA"/>
    <w:rsid w:val="00885CA5"/>
    <w:rsid w:val="008867B3"/>
    <w:rsid w:val="00891C29"/>
    <w:rsid w:val="00892DE3"/>
    <w:rsid w:val="00893A53"/>
    <w:rsid w:val="008959B5"/>
    <w:rsid w:val="008A06E2"/>
    <w:rsid w:val="008A1E42"/>
    <w:rsid w:val="008A6329"/>
    <w:rsid w:val="008A69E5"/>
    <w:rsid w:val="008A70AE"/>
    <w:rsid w:val="008B020D"/>
    <w:rsid w:val="008B0498"/>
    <w:rsid w:val="008B157B"/>
    <w:rsid w:val="008B1F0B"/>
    <w:rsid w:val="008B3652"/>
    <w:rsid w:val="008B7A02"/>
    <w:rsid w:val="008C0E8C"/>
    <w:rsid w:val="008C14BE"/>
    <w:rsid w:val="008C16C1"/>
    <w:rsid w:val="008C351D"/>
    <w:rsid w:val="008C5001"/>
    <w:rsid w:val="008C505B"/>
    <w:rsid w:val="008C5DBD"/>
    <w:rsid w:val="008C6423"/>
    <w:rsid w:val="008C78BC"/>
    <w:rsid w:val="008D096D"/>
    <w:rsid w:val="008D0BF7"/>
    <w:rsid w:val="008D0F9F"/>
    <w:rsid w:val="008D1772"/>
    <w:rsid w:val="008D3182"/>
    <w:rsid w:val="008D3F08"/>
    <w:rsid w:val="008D4F2F"/>
    <w:rsid w:val="008D52EC"/>
    <w:rsid w:val="008D7B74"/>
    <w:rsid w:val="008E0E91"/>
    <w:rsid w:val="008E2BD9"/>
    <w:rsid w:val="008E346F"/>
    <w:rsid w:val="008E436D"/>
    <w:rsid w:val="008E52A3"/>
    <w:rsid w:val="008E52FA"/>
    <w:rsid w:val="008E5ECC"/>
    <w:rsid w:val="008E63D0"/>
    <w:rsid w:val="008E7DAA"/>
    <w:rsid w:val="008F22B7"/>
    <w:rsid w:val="008F2975"/>
    <w:rsid w:val="008F5AB1"/>
    <w:rsid w:val="008F6837"/>
    <w:rsid w:val="00904496"/>
    <w:rsid w:val="0090450A"/>
    <w:rsid w:val="00905B41"/>
    <w:rsid w:val="009148EC"/>
    <w:rsid w:val="00915D74"/>
    <w:rsid w:val="00920F7E"/>
    <w:rsid w:val="0092221B"/>
    <w:rsid w:val="0092404B"/>
    <w:rsid w:val="0092465F"/>
    <w:rsid w:val="00924A6F"/>
    <w:rsid w:val="00924E80"/>
    <w:rsid w:val="009258A3"/>
    <w:rsid w:val="00930911"/>
    <w:rsid w:val="00932233"/>
    <w:rsid w:val="00933CCD"/>
    <w:rsid w:val="009341AE"/>
    <w:rsid w:val="009342BB"/>
    <w:rsid w:val="009344E4"/>
    <w:rsid w:val="00934FE5"/>
    <w:rsid w:val="00936003"/>
    <w:rsid w:val="0094181B"/>
    <w:rsid w:val="009446FB"/>
    <w:rsid w:val="009447A4"/>
    <w:rsid w:val="00946F58"/>
    <w:rsid w:val="00950613"/>
    <w:rsid w:val="009525BF"/>
    <w:rsid w:val="00953B8E"/>
    <w:rsid w:val="00953BE2"/>
    <w:rsid w:val="00956AF8"/>
    <w:rsid w:val="0095715B"/>
    <w:rsid w:val="00964F9C"/>
    <w:rsid w:val="009650E8"/>
    <w:rsid w:val="0096545F"/>
    <w:rsid w:val="00966542"/>
    <w:rsid w:val="0097082D"/>
    <w:rsid w:val="009720D5"/>
    <w:rsid w:val="009802D8"/>
    <w:rsid w:val="00980AE7"/>
    <w:rsid w:val="00981533"/>
    <w:rsid w:val="0098276B"/>
    <w:rsid w:val="009842BC"/>
    <w:rsid w:val="00986DDA"/>
    <w:rsid w:val="0098766A"/>
    <w:rsid w:val="00991147"/>
    <w:rsid w:val="00991888"/>
    <w:rsid w:val="0099264A"/>
    <w:rsid w:val="00993E70"/>
    <w:rsid w:val="009942FC"/>
    <w:rsid w:val="00997A75"/>
    <w:rsid w:val="009A198C"/>
    <w:rsid w:val="009A22FF"/>
    <w:rsid w:val="009A31C3"/>
    <w:rsid w:val="009A31E3"/>
    <w:rsid w:val="009A481E"/>
    <w:rsid w:val="009A518D"/>
    <w:rsid w:val="009A6136"/>
    <w:rsid w:val="009A63EE"/>
    <w:rsid w:val="009B1836"/>
    <w:rsid w:val="009B32E0"/>
    <w:rsid w:val="009B465A"/>
    <w:rsid w:val="009B6648"/>
    <w:rsid w:val="009C3A97"/>
    <w:rsid w:val="009C3E52"/>
    <w:rsid w:val="009D0ECD"/>
    <w:rsid w:val="009D118F"/>
    <w:rsid w:val="009D145F"/>
    <w:rsid w:val="009D5196"/>
    <w:rsid w:val="009E1147"/>
    <w:rsid w:val="009E2610"/>
    <w:rsid w:val="009E2E07"/>
    <w:rsid w:val="009E5AB0"/>
    <w:rsid w:val="009E6922"/>
    <w:rsid w:val="009E6F19"/>
    <w:rsid w:val="009E79CE"/>
    <w:rsid w:val="009F048C"/>
    <w:rsid w:val="009F0822"/>
    <w:rsid w:val="00A00409"/>
    <w:rsid w:val="00A02CCB"/>
    <w:rsid w:val="00A05F5B"/>
    <w:rsid w:val="00A06244"/>
    <w:rsid w:val="00A125EF"/>
    <w:rsid w:val="00A129D7"/>
    <w:rsid w:val="00A141FC"/>
    <w:rsid w:val="00A14453"/>
    <w:rsid w:val="00A14946"/>
    <w:rsid w:val="00A14D79"/>
    <w:rsid w:val="00A15FCD"/>
    <w:rsid w:val="00A1689D"/>
    <w:rsid w:val="00A1718D"/>
    <w:rsid w:val="00A17595"/>
    <w:rsid w:val="00A207B4"/>
    <w:rsid w:val="00A20DEE"/>
    <w:rsid w:val="00A23C5C"/>
    <w:rsid w:val="00A24778"/>
    <w:rsid w:val="00A24F38"/>
    <w:rsid w:val="00A27FED"/>
    <w:rsid w:val="00A3009B"/>
    <w:rsid w:val="00A304EF"/>
    <w:rsid w:val="00A32962"/>
    <w:rsid w:val="00A33870"/>
    <w:rsid w:val="00A33A09"/>
    <w:rsid w:val="00A33BB4"/>
    <w:rsid w:val="00A33C60"/>
    <w:rsid w:val="00A344B1"/>
    <w:rsid w:val="00A36756"/>
    <w:rsid w:val="00A379E5"/>
    <w:rsid w:val="00A45124"/>
    <w:rsid w:val="00A47C33"/>
    <w:rsid w:val="00A5056A"/>
    <w:rsid w:val="00A53352"/>
    <w:rsid w:val="00A5439C"/>
    <w:rsid w:val="00A612EC"/>
    <w:rsid w:val="00A62CA0"/>
    <w:rsid w:val="00A64002"/>
    <w:rsid w:val="00A6749C"/>
    <w:rsid w:val="00A7067F"/>
    <w:rsid w:val="00A70A1A"/>
    <w:rsid w:val="00A751FE"/>
    <w:rsid w:val="00A75CA5"/>
    <w:rsid w:val="00A77F5F"/>
    <w:rsid w:val="00A81BB0"/>
    <w:rsid w:val="00A860ED"/>
    <w:rsid w:val="00A86BF0"/>
    <w:rsid w:val="00A86F6A"/>
    <w:rsid w:val="00A87A4C"/>
    <w:rsid w:val="00A901F2"/>
    <w:rsid w:val="00A90C8B"/>
    <w:rsid w:val="00A93C3A"/>
    <w:rsid w:val="00A93C8C"/>
    <w:rsid w:val="00A97A3C"/>
    <w:rsid w:val="00AA26C1"/>
    <w:rsid w:val="00AA293B"/>
    <w:rsid w:val="00AA4ABD"/>
    <w:rsid w:val="00AA4BB4"/>
    <w:rsid w:val="00AB0EE8"/>
    <w:rsid w:val="00AB53FD"/>
    <w:rsid w:val="00AB5B89"/>
    <w:rsid w:val="00AC0AC0"/>
    <w:rsid w:val="00AC25FC"/>
    <w:rsid w:val="00AC3D1E"/>
    <w:rsid w:val="00AC3F94"/>
    <w:rsid w:val="00AC5B18"/>
    <w:rsid w:val="00AC5F33"/>
    <w:rsid w:val="00AD1A9E"/>
    <w:rsid w:val="00AD4720"/>
    <w:rsid w:val="00AD4BF1"/>
    <w:rsid w:val="00AD5B15"/>
    <w:rsid w:val="00AD741C"/>
    <w:rsid w:val="00AE0599"/>
    <w:rsid w:val="00AE07C2"/>
    <w:rsid w:val="00AE150D"/>
    <w:rsid w:val="00AE1B54"/>
    <w:rsid w:val="00AE2F8D"/>
    <w:rsid w:val="00AE4A90"/>
    <w:rsid w:val="00AF0F5D"/>
    <w:rsid w:val="00AF2593"/>
    <w:rsid w:val="00AF34A3"/>
    <w:rsid w:val="00AF36A0"/>
    <w:rsid w:val="00AF52CC"/>
    <w:rsid w:val="00AF5B68"/>
    <w:rsid w:val="00AF5D6D"/>
    <w:rsid w:val="00AF6045"/>
    <w:rsid w:val="00B01B09"/>
    <w:rsid w:val="00B02188"/>
    <w:rsid w:val="00B02ED5"/>
    <w:rsid w:val="00B0337F"/>
    <w:rsid w:val="00B03E0E"/>
    <w:rsid w:val="00B05418"/>
    <w:rsid w:val="00B161F5"/>
    <w:rsid w:val="00B1628C"/>
    <w:rsid w:val="00B17585"/>
    <w:rsid w:val="00B1772C"/>
    <w:rsid w:val="00B258AF"/>
    <w:rsid w:val="00B27904"/>
    <w:rsid w:val="00B316B2"/>
    <w:rsid w:val="00B3673C"/>
    <w:rsid w:val="00B41EA1"/>
    <w:rsid w:val="00B430CE"/>
    <w:rsid w:val="00B432AD"/>
    <w:rsid w:val="00B436DF"/>
    <w:rsid w:val="00B446E3"/>
    <w:rsid w:val="00B465B7"/>
    <w:rsid w:val="00B47837"/>
    <w:rsid w:val="00B4790E"/>
    <w:rsid w:val="00B516EE"/>
    <w:rsid w:val="00B5394D"/>
    <w:rsid w:val="00B54C2C"/>
    <w:rsid w:val="00B552DA"/>
    <w:rsid w:val="00B56CCC"/>
    <w:rsid w:val="00B60296"/>
    <w:rsid w:val="00B61A59"/>
    <w:rsid w:val="00B63684"/>
    <w:rsid w:val="00B6752B"/>
    <w:rsid w:val="00B73E82"/>
    <w:rsid w:val="00B75E0C"/>
    <w:rsid w:val="00B80F6D"/>
    <w:rsid w:val="00B811FE"/>
    <w:rsid w:val="00B815EC"/>
    <w:rsid w:val="00B8175F"/>
    <w:rsid w:val="00B818E1"/>
    <w:rsid w:val="00B84A8C"/>
    <w:rsid w:val="00B87E33"/>
    <w:rsid w:val="00B93419"/>
    <w:rsid w:val="00B93F25"/>
    <w:rsid w:val="00B94C6F"/>
    <w:rsid w:val="00B95EA8"/>
    <w:rsid w:val="00B9684F"/>
    <w:rsid w:val="00BA00CD"/>
    <w:rsid w:val="00BA133E"/>
    <w:rsid w:val="00BA1C72"/>
    <w:rsid w:val="00BA380C"/>
    <w:rsid w:val="00BA4822"/>
    <w:rsid w:val="00BA5983"/>
    <w:rsid w:val="00BA75AF"/>
    <w:rsid w:val="00BB0322"/>
    <w:rsid w:val="00BB3F40"/>
    <w:rsid w:val="00BB7C87"/>
    <w:rsid w:val="00BC15D2"/>
    <w:rsid w:val="00BC3540"/>
    <w:rsid w:val="00BC4458"/>
    <w:rsid w:val="00BC602F"/>
    <w:rsid w:val="00BD04FA"/>
    <w:rsid w:val="00BD0784"/>
    <w:rsid w:val="00BD1BF8"/>
    <w:rsid w:val="00BD4092"/>
    <w:rsid w:val="00BD5112"/>
    <w:rsid w:val="00BD5A4A"/>
    <w:rsid w:val="00BD5F75"/>
    <w:rsid w:val="00BD7129"/>
    <w:rsid w:val="00BE15A9"/>
    <w:rsid w:val="00BE5B40"/>
    <w:rsid w:val="00BE5B5E"/>
    <w:rsid w:val="00BF1699"/>
    <w:rsid w:val="00BF3C4A"/>
    <w:rsid w:val="00C00A67"/>
    <w:rsid w:val="00C0217F"/>
    <w:rsid w:val="00C02FD2"/>
    <w:rsid w:val="00C03BFC"/>
    <w:rsid w:val="00C06389"/>
    <w:rsid w:val="00C06D00"/>
    <w:rsid w:val="00C07E9F"/>
    <w:rsid w:val="00C10C06"/>
    <w:rsid w:val="00C112D8"/>
    <w:rsid w:val="00C12854"/>
    <w:rsid w:val="00C12AB7"/>
    <w:rsid w:val="00C13C12"/>
    <w:rsid w:val="00C1464E"/>
    <w:rsid w:val="00C17171"/>
    <w:rsid w:val="00C176C2"/>
    <w:rsid w:val="00C202DB"/>
    <w:rsid w:val="00C2129A"/>
    <w:rsid w:val="00C23255"/>
    <w:rsid w:val="00C2372E"/>
    <w:rsid w:val="00C23996"/>
    <w:rsid w:val="00C2448E"/>
    <w:rsid w:val="00C24A8B"/>
    <w:rsid w:val="00C25BB5"/>
    <w:rsid w:val="00C30113"/>
    <w:rsid w:val="00C307EF"/>
    <w:rsid w:val="00C31D8D"/>
    <w:rsid w:val="00C3211A"/>
    <w:rsid w:val="00C33A45"/>
    <w:rsid w:val="00C34500"/>
    <w:rsid w:val="00C372AD"/>
    <w:rsid w:val="00C42F61"/>
    <w:rsid w:val="00C438A9"/>
    <w:rsid w:val="00C50087"/>
    <w:rsid w:val="00C50147"/>
    <w:rsid w:val="00C51F06"/>
    <w:rsid w:val="00C533F4"/>
    <w:rsid w:val="00C53BD5"/>
    <w:rsid w:val="00C53E41"/>
    <w:rsid w:val="00C54054"/>
    <w:rsid w:val="00C56616"/>
    <w:rsid w:val="00C60744"/>
    <w:rsid w:val="00C624DF"/>
    <w:rsid w:val="00C6419E"/>
    <w:rsid w:val="00C645D7"/>
    <w:rsid w:val="00C64A37"/>
    <w:rsid w:val="00C65C00"/>
    <w:rsid w:val="00C70B72"/>
    <w:rsid w:val="00C71368"/>
    <w:rsid w:val="00C71A24"/>
    <w:rsid w:val="00C730A9"/>
    <w:rsid w:val="00C73B68"/>
    <w:rsid w:val="00C74C40"/>
    <w:rsid w:val="00C75156"/>
    <w:rsid w:val="00C7519B"/>
    <w:rsid w:val="00C755D6"/>
    <w:rsid w:val="00C76F77"/>
    <w:rsid w:val="00C824EE"/>
    <w:rsid w:val="00C834A8"/>
    <w:rsid w:val="00C8556C"/>
    <w:rsid w:val="00C8715A"/>
    <w:rsid w:val="00C900E9"/>
    <w:rsid w:val="00C9060B"/>
    <w:rsid w:val="00C9179A"/>
    <w:rsid w:val="00C91E23"/>
    <w:rsid w:val="00C92B7E"/>
    <w:rsid w:val="00C92FAF"/>
    <w:rsid w:val="00C93343"/>
    <w:rsid w:val="00C93BD6"/>
    <w:rsid w:val="00C95B33"/>
    <w:rsid w:val="00C96246"/>
    <w:rsid w:val="00CA236E"/>
    <w:rsid w:val="00CA2836"/>
    <w:rsid w:val="00CA398C"/>
    <w:rsid w:val="00CA3CC4"/>
    <w:rsid w:val="00CA7902"/>
    <w:rsid w:val="00CB1F78"/>
    <w:rsid w:val="00CB2329"/>
    <w:rsid w:val="00CB35A1"/>
    <w:rsid w:val="00CB6D68"/>
    <w:rsid w:val="00CC0A21"/>
    <w:rsid w:val="00CC1220"/>
    <w:rsid w:val="00CC3C0E"/>
    <w:rsid w:val="00CC41DF"/>
    <w:rsid w:val="00CC4464"/>
    <w:rsid w:val="00CC4EF0"/>
    <w:rsid w:val="00CC68C1"/>
    <w:rsid w:val="00CD3A35"/>
    <w:rsid w:val="00CD3F19"/>
    <w:rsid w:val="00CD51E2"/>
    <w:rsid w:val="00CD5A6F"/>
    <w:rsid w:val="00CD767E"/>
    <w:rsid w:val="00CF07C0"/>
    <w:rsid w:val="00CF4B0A"/>
    <w:rsid w:val="00CF6A57"/>
    <w:rsid w:val="00CF6AEC"/>
    <w:rsid w:val="00CF7A70"/>
    <w:rsid w:val="00D0174B"/>
    <w:rsid w:val="00D01848"/>
    <w:rsid w:val="00D0283F"/>
    <w:rsid w:val="00D03031"/>
    <w:rsid w:val="00D03950"/>
    <w:rsid w:val="00D04571"/>
    <w:rsid w:val="00D0511C"/>
    <w:rsid w:val="00D10367"/>
    <w:rsid w:val="00D105FF"/>
    <w:rsid w:val="00D10A50"/>
    <w:rsid w:val="00D122C1"/>
    <w:rsid w:val="00D12D70"/>
    <w:rsid w:val="00D17A4D"/>
    <w:rsid w:val="00D21842"/>
    <w:rsid w:val="00D23441"/>
    <w:rsid w:val="00D26436"/>
    <w:rsid w:val="00D268C7"/>
    <w:rsid w:val="00D3144B"/>
    <w:rsid w:val="00D31FC8"/>
    <w:rsid w:val="00D35988"/>
    <w:rsid w:val="00D3628A"/>
    <w:rsid w:val="00D364B9"/>
    <w:rsid w:val="00D36B93"/>
    <w:rsid w:val="00D372B7"/>
    <w:rsid w:val="00D40B15"/>
    <w:rsid w:val="00D41BDC"/>
    <w:rsid w:val="00D437CD"/>
    <w:rsid w:val="00D442B7"/>
    <w:rsid w:val="00D463B9"/>
    <w:rsid w:val="00D4709E"/>
    <w:rsid w:val="00D47B52"/>
    <w:rsid w:val="00D5491A"/>
    <w:rsid w:val="00D550A9"/>
    <w:rsid w:val="00D5572E"/>
    <w:rsid w:val="00D55779"/>
    <w:rsid w:val="00D55EC1"/>
    <w:rsid w:val="00D56151"/>
    <w:rsid w:val="00D565E0"/>
    <w:rsid w:val="00D57C11"/>
    <w:rsid w:val="00D60D4E"/>
    <w:rsid w:val="00D61906"/>
    <w:rsid w:val="00D62E36"/>
    <w:rsid w:val="00D63B8D"/>
    <w:rsid w:val="00D63DCF"/>
    <w:rsid w:val="00D718D8"/>
    <w:rsid w:val="00D77131"/>
    <w:rsid w:val="00D77DB1"/>
    <w:rsid w:val="00D807C3"/>
    <w:rsid w:val="00D81E86"/>
    <w:rsid w:val="00D8541C"/>
    <w:rsid w:val="00D87EB6"/>
    <w:rsid w:val="00D91E3F"/>
    <w:rsid w:val="00D946C7"/>
    <w:rsid w:val="00D971EF"/>
    <w:rsid w:val="00D97D24"/>
    <w:rsid w:val="00DA0335"/>
    <w:rsid w:val="00DA0688"/>
    <w:rsid w:val="00DA1531"/>
    <w:rsid w:val="00DA30A0"/>
    <w:rsid w:val="00DA43E8"/>
    <w:rsid w:val="00DB01E7"/>
    <w:rsid w:val="00DB0489"/>
    <w:rsid w:val="00DB50C8"/>
    <w:rsid w:val="00DC1713"/>
    <w:rsid w:val="00DC2213"/>
    <w:rsid w:val="00DC53EF"/>
    <w:rsid w:val="00DD1B88"/>
    <w:rsid w:val="00DD2C03"/>
    <w:rsid w:val="00DD31C1"/>
    <w:rsid w:val="00DD3A7B"/>
    <w:rsid w:val="00DD5A0D"/>
    <w:rsid w:val="00DD7FFA"/>
    <w:rsid w:val="00DE2674"/>
    <w:rsid w:val="00DE3B1B"/>
    <w:rsid w:val="00DE4D0C"/>
    <w:rsid w:val="00DE5550"/>
    <w:rsid w:val="00DE57AF"/>
    <w:rsid w:val="00DE5E4D"/>
    <w:rsid w:val="00DE7D0B"/>
    <w:rsid w:val="00DF3EDB"/>
    <w:rsid w:val="00DF5093"/>
    <w:rsid w:val="00DF5537"/>
    <w:rsid w:val="00E00D08"/>
    <w:rsid w:val="00E02B57"/>
    <w:rsid w:val="00E02E7D"/>
    <w:rsid w:val="00E039C2"/>
    <w:rsid w:val="00E047B3"/>
    <w:rsid w:val="00E050CA"/>
    <w:rsid w:val="00E06046"/>
    <w:rsid w:val="00E06ED8"/>
    <w:rsid w:val="00E10115"/>
    <w:rsid w:val="00E101B5"/>
    <w:rsid w:val="00E11262"/>
    <w:rsid w:val="00E11757"/>
    <w:rsid w:val="00E13E32"/>
    <w:rsid w:val="00E143D4"/>
    <w:rsid w:val="00E147F6"/>
    <w:rsid w:val="00E162DA"/>
    <w:rsid w:val="00E20C20"/>
    <w:rsid w:val="00E239D6"/>
    <w:rsid w:val="00E24C79"/>
    <w:rsid w:val="00E265B5"/>
    <w:rsid w:val="00E26C2F"/>
    <w:rsid w:val="00E272DD"/>
    <w:rsid w:val="00E275CF"/>
    <w:rsid w:val="00E306A4"/>
    <w:rsid w:val="00E30C01"/>
    <w:rsid w:val="00E30F3B"/>
    <w:rsid w:val="00E31B03"/>
    <w:rsid w:val="00E33123"/>
    <w:rsid w:val="00E33508"/>
    <w:rsid w:val="00E34071"/>
    <w:rsid w:val="00E34C2A"/>
    <w:rsid w:val="00E402C4"/>
    <w:rsid w:val="00E43621"/>
    <w:rsid w:val="00E44F09"/>
    <w:rsid w:val="00E45097"/>
    <w:rsid w:val="00E45636"/>
    <w:rsid w:val="00E45789"/>
    <w:rsid w:val="00E45B4B"/>
    <w:rsid w:val="00E46491"/>
    <w:rsid w:val="00E47695"/>
    <w:rsid w:val="00E47BC1"/>
    <w:rsid w:val="00E51BAC"/>
    <w:rsid w:val="00E51D60"/>
    <w:rsid w:val="00E533A1"/>
    <w:rsid w:val="00E53E5B"/>
    <w:rsid w:val="00E55945"/>
    <w:rsid w:val="00E55A5B"/>
    <w:rsid w:val="00E5608C"/>
    <w:rsid w:val="00E60101"/>
    <w:rsid w:val="00E60BC3"/>
    <w:rsid w:val="00E60C5D"/>
    <w:rsid w:val="00E61EAD"/>
    <w:rsid w:val="00E63BC7"/>
    <w:rsid w:val="00E65C5E"/>
    <w:rsid w:val="00E66468"/>
    <w:rsid w:val="00E66B16"/>
    <w:rsid w:val="00E67430"/>
    <w:rsid w:val="00E67DDA"/>
    <w:rsid w:val="00E70DFE"/>
    <w:rsid w:val="00E71983"/>
    <w:rsid w:val="00E71F74"/>
    <w:rsid w:val="00E72AE0"/>
    <w:rsid w:val="00E74E28"/>
    <w:rsid w:val="00E75489"/>
    <w:rsid w:val="00E77B51"/>
    <w:rsid w:val="00E77F7A"/>
    <w:rsid w:val="00E80245"/>
    <w:rsid w:val="00E87492"/>
    <w:rsid w:val="00E87D7C"/>
    <w:rsid w:val="00E87FA9"/>
    <w:rsid w:val="00E9061E"/>
    <w:rsid w:val="00E90928"/>
    <w:rsid w:val="00E91237"/>
    <w:rsid w:val="00E91B4F"/>
    <w:rsid w:val="00E92531"/>
    <w:rsid w:val="00E92875"/>
    <w:rsid w:val="00E92DF3"/>
    <w:rsid w:val="00E96D7A"/>
    <w:rsid w:val="00E96F92"/>
    <w:rsid w:val="00E978E8"/>
    <w:rsid w:val="00EA23CC"/>
    <w:rsid w:val="00EA3D34"/>
    <w:rsid w:val="00EA4599"/>
    <w:rsid w:val="00EA6155"/>
    <w:rsid w:val="00EA661B"/>
    <w:rsid w:val="00EB1680"/>
    <w:rsid w:val="00EB44B1"/>
    <w:rsid w:val="00EB4CC8"/>
    <w:rsid w:val="00EB5646"/>
    <w:rsid w:val="00EB58C9"/>
    <w:rsid w:val="00EB58ED"/>
    <w:rsid w:val="00EC31F8"/>
    <w:rsid w:val="00EC6E2F"/>
    <w:rsid w:val="00ED03E0"/>
    <w:rsid w:val="00ED13D8"/>
    <w:rsid w:val="00ED29F8"/>
    <w:rsid w:val="00ED562E"/>
    <w:rsid w:val="00ED5912"/>
    <w:rsid w:val="00ED5C2E"/>
    <w:rsid w:val="00ED6B8F"/>
    <w:rsid w:val="00EE081E"/>
    <w:rsid w:val="00EE28FD"/>
    <w:rsid w:val="00EE3EB9"/>
    <w:rsid w:val="00EF083B"/>
    <w:rsid w:val="00EF0B46"/>
    <w:rsid w:val="00EF28FF"/>
    <w:rsid w:val="00EF7362"/>
    <w:rsid w:val="00F00795"/>
    <w:rsid w:val="00F0303C"/>
    <w:rsid w:val="00F0425F"/>
    <w:rsid w:val="00F05C3D"/>
    <w:rsid w:val="00F06D5A"/>
    <w:rsid w:val="00F075C7"/>
    <w:rsid w:val="00F11422"/>
    <w:rsid w:val="00F140C9"/>
    <w:rsid w:val="00F14D5B"/>
    <w:rsid w:val="00F210E1"/>
    <w:rsid w:val="00F217B4"/>
    <w:rsid w:val="00F21B4E"/>
    <w:rsid w:val="00F24434"/>
    <w:rsid w:val="00F3022A"/>
    <w:rsid w:val="00F30F23"/>
    <w:rsid w:val="00F318D3"/>
    <w:rsid w:val="00F33F13"/>
    <w:rsid w:val="00F35669"/>
    <w:rsid w:val="00F35DCF"/>
    <w:rsid w:val="00F370A2"/>
    <w:rsid w:val="00F42682"/>
    <w:rsid w:val="00F44867"/>
    <w:rsid w:val="00F5205D"/>
    <w:rsid w:val="00F57597"/>
    <w:rsid w:val="00F6222D"/>
    <w:rsid w:val="00F624B6"/>
    <w:rsid w:val="00F63B3E"/>
    <w:rsid w:val="00F65802"/>
    <w:rsid w:val="00F65AA6"/>
    <w:rsid w:val="00F6636B"/>
    <w:rsid w:val="00F66409"/>
    <w:rsid w:val="00F71582"/>
    <w:rsid w:val="00F73A12"/>
    <w:rsid w:val="00F75D6D"/>
    <w:rsid w:val="00F77F4C"/>
    <w:rsid w:val="00F80166"/>
    <w:rsid w:val="00F80E72"/>
    <w:rsid w:val="00F82353"/>
    <w:rsid w:val="00F82947"/>
    <w:rsid w:val="00F86C17"/>
    <w:rsid w:val="00F91BFC"/>
    <w:rsid w:val="00F951A2"/>
    <w:rsid w:val="00F972B8"/>
    <w:rsid w:val="00F978C2"/>
    <w:rsid w:val="00FA02FB"/>
    <w:rsid w:val="00FA36FD"/>
    <w:rsid w:val="00FA42EE"/>
    <w:rsid w:val="00FA6475"/>
    <w:rsid w:val="00FA650D"/>
    <w:rsid w:val="00FA7530"/>
    <w:rsid w:val="00FB17BA"/>
    <w:rsid w:val="00FB68BD"/>
    <w:rsid w:val="00FB6B51"/>
    <w:rsid w:val="00FB6CB9"/>
    <w:rsid w:val="00FC0602"/>
    <w:rsid w:val="00FC0921"/>
    <w:rsid w:val="00FC1584"/>
    <w:rsid w:val="00FC3E89"/>
    <w:rsid w:val="00FC5450"/>
    <w:rsid w:val="00FC6737"/>
    <w:rsid w:val="00FC7181"/>
    <w:rsid w:val="00FD0AD6"/>
    <w:rsid w:val="00FD26A3"/>
    <w:rsid w:val="00FD3B40"/>
    <w:rsid w:val="00FD3B4C"/>
    <w:rsid w:val="00FD5BAA"/>
    <w:rsid w:val="00FD760E"/>
    <w:rsid w:val="00FE1EFD"/>
    <w:rsid w:val="00FE2183"/>
    <w:rsid w:val="00FE275A"/>
    <w:rsid w:val="00FE31AD"/>
    <w:rsid w:val="00FE33BB"/>
    <w:rsid w:val="00FE34E0"/>
    <w:rsid w:val="00FE4B9A"/>
    <w:rsid w:val="00FE63F3"/>
    <w:rsid w:val="00FF0C90"/>
    <w:rsid w:val="00FF160F"/>
    <w:rsid w:val="00FF1F16"/>
    <w:rsid w:val="00FF310A"/>
    <w:rsid w:val="00FF73CE"/>
    <w:rsid w:val="00FF7AA9"/>
    <w:rsid w:val="02244EE9"/>
    <w:rsid w:val="02635E88"/>
    <w:rsid w:val="03536411"/>
    <w:rsid w:val="04802156"/>
    <w:rsid w:val="04EB7927"/>
    <w:rsid w:val="05DE5068"/>
    <w:rsid w:val="06C87F81"/>
    <w:rsid w:val="077437D2"/>
    <w:rsid w:val="088E4C64"/>
    <w:rsid w:val="08F2359F"/>
    <w:rsid w:val="08F242B6"/>
    <w:rsid w:val="09C07981"/>
    <w:rsid w:val="0C6B2FD6"/>
    <w:rsid w:val="0D2041E1"/>
    <w:rsid w:val="0D9C37A8"/>
    <w:rsid w:val="0DD507B9"/>
    <w:rsid w:val="0F2E50C2"/>
    <w:rsid w:val="10263163"/>
    <w:rsid w:val="10501A1C"/>
    <w:rsid w:val="10501BCE"/>
    <w:rsid w:val="105D7041"/>
    <w:rsid w:val="10CA4A15"/>
    <w:rsid w:val="124D3F3A"/>
    <w:rsid w:val="12847EA7"/>
    <w:rsid w:val="12DE7690"/>
    <w:rsid w:val="13917CD5"/>
    <w:rsid w:val="159C6B16"/>
    <w:rsid w:val="16334288"/>
    <w:rsid w:val="16965F65"/>
    <w:rsid w:val="16D11571"/>
    <w:rsid w:val="173A05D9"/>
    <w:rsid w:val="17886D1E"/>
    <w:rsid w:val="17962C95"/>
    <w:rsid w:val="182B6787"/>
    <w:rsid w:val="18C06247"/>
    <w:rsid w:val="19523B1B"/>
    <w:rsid w:val="1A66642D"/>
    <w:rsid w:val="1AE50EAF"/>
    <w:rsid w:val="1BF9662F"/>
    <w:rsid w:val="1CE86CB1"/>
    <w:rsid w:val="1D782981"/>
    <w:rsid w:val="1EEE031C"/>
    <w:rsid w:val="1F8C0DC0"/>
    <w:rsid w:val="211A4CA1"/>
    <w:rsid w:val="2216020F"/>
    <w:rsid w:val="22C01FF4"/>
    <w:rsid w:val="23774580"/>
    <w:rsid w:val="23EC33EC"/>
    <w:rsid w:val="257968B4"/>
    <w:rsid w:val="25887471"/>
    <w:rsid w:val="275B49AB"/>
    <w:rsid w:val="27703C24"/>
    <w:rsid w:val="28F25182"/>
    <w:rsid w:val="29506C05"/>
    <w:rsid w:val="29B20134"/>
    <w:rsid w:val="2B3F31EC"/>
    <w:rsid w:val="2BD14787"/>
    <w:rsid w:val="2DCE24AE"/>
    <w:rsid w:val="2F971484"/>
    <w:rsid w:val="30D46CE1"/>
    <w:rsid w:val="33F905DF"/>
    <w:rsid w:val="343617A1"/>
    <w:rsid w:val="36AF57B8"/>
    <w:rsid w:val="37486E54"/>
    <w:rsid w:val="37C55484"/>
    <w:rsid w:val="3D054A22"/>
    <w:rsid w:val="3FA365E8"/>
    <w:rsid w:val="3FF63C56"/>
    <w:rsid w:val="40D916E7"/>
    <w:rsid w:val="40DF2AE0"/>
    <w:rsid w:val="4323176E"/>
    <w:rsid w:val="489B5DFC"/>
    <w:rsid w:val="49DC3ED6"/>
    <w:rsid w:val="4A5135CD"/>
    <w:rsid w:val="4BAF571D"/>
    <w:rsid w:val="4BCD1DC8"/>
    <w:rsid w:val="4D865390"/>
    <w:rsid w:val="50F473DD"/>
    <w:rsid w:val="51415BB2"/>
    <w:rsid w:val="516E0BDF"/>
    <w:rsid w:val="527270D6"/>
    <w:rsid w:val="553C384A"/>
    <w:rsid w:val="56C41774"/>
    <w:rsid w:val="56D7462D"/>
    <w:rsid w:val="57195990"/>
    <w:rsid w:val="57455D34"/>
    <w:rsid w:val="58A82BE9"/>
    <w:rsid w:val="59E418DA"/>
    <w:rsid w:val="5A6437A8"/>
    <w:rsid w:val="5BB14306"/>
    <w:rsid w:val="5BEA317A"/>
    <w:rsid w:val="5BF55B08"/>
    <w:rsid w:val="5C160AE4"/>
    <w:rsid w:val="5D45267A"/>
    <w:rsid w:val="5E781DD4"/>
    <w:rsid w:val="5EE85FC0"/>
    <w:rsid w:val="5F1511B0"/>
    <w:rsid w:val="5F4B13F2"/>
    <w:rsid w:val="60574C6C"/>
    <w:rsid w:val="61534671"/>
    <w:rsid w:val="62891304"/>
    <w:rsid w:val="6320161A"/>
    <w:rsid w:val="635A5629"/>
    <w:rsid w:val="638E194A"/>
    <w:rsid w:val="65D941A2"/>
    <w:rsid w:val="675A01C9"/>
    <w:rsid w:val="67F50FA6"/>
    <w:rsid w:val="689A0F19"/>
    <w:rsid w:val="68E662F8"/>
    <w:rsid w:val="6957205C"/>
    <w:rsid w:val="69994CFA"/>
    <w:rsid w:val="6CD017B8"/>
    <w:rsid w:val="6D481D0E"/>
    <w:rsid w:val="6D536D8E"/>
    <w:rsid w:val="6E525DE0"/>
    <w:rsid w:val="6E6B7DB0"/>
    <w:rsid w:val="6EF63622"/>
    <w:rsid w:val="70552547"/>
    <w:rsid w:val="733049FF"/>
    <w:rsid w:val="735A1C62"/>
    <w:rsid w:val="74E053F1"/>
    <w:rsid w:val="7529689E"/>
    <w:rsid w:val="76EE4B1F"/>
    <w:rsid w:val="785854FE"/>
    <w:rsid w:val="78B35254"/>
    <w:rsid w:val="78ED73D0"/>
    <w:rsid w:val="798A7605"/>
    <w:rsid w:val="799428B5"/>
    <w:rsid w:val="79FE4351"/>
    <w:rsid w:val="7CA62FE7"/>
    <w:rsid w:val="7D687403"/>
    <w:rsid w:val="7DB327D9"/>
    <w:rsid w:val="7DCF79D6"/>
    <w:rsid w:val="7E8146B2"/>
    <w:rsid w:val="7F0F2B48"/>
    <w:rsid w:val="7F81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link w:val="40"/>
    <w:qFormat/>
    <w:uiPriority w:val="9"/>
    <w:pPr>
      <w:keepNext/>
      <w:keepLines/>
      <w:numPr>
        <w:ilvl w:val="0"/>
        <w:numId w:val="1"/>
      </w:numPr>
      <w:spacing w:before="100" w:beforeLines="100" w:after="100" w:afterLines="100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41"/>
    <w:unhideWhenUsed/>
    <w:qFormat/>
    <w:uiPriority w:val="9"/>
    <w:pPr>
      <w:keepNext/>
      <w:keepLines/>
      <w:numPr>
        <w:ilvl w:val="1"/>
        <w:numId w:val="1"/>
      </w:numPr>
      <w:spacing w:before="100" w:beforeLines="100" w:after="100" w:afterLines="100"/>
      <w:outlineLvl w:val="1"/>
    </w:pPr>
    <w:rPr>
      <w:rFonts w:ascii="Times New Roman" w:hAnsi="Times New Roman" w:cstheme="majorBidi"/>
      <w:b/>
      <w:bCs/>
      <w:sz w:val="30"/>
      <w:szCs w:val="32"/>
    </w:rPr>
  </w:style>
  <w:style w:type="paragraph" w:styleId="5">
    <w:name w:val="heading 3"/>
    <w:basedOn w:val="1"/>
    <w:next w:val="1"/>
    <w:link w:val="38"/>
    <w:unhideWhenUsed/>
    <w:qFormat/>
    <w:uiPriority w:val="9"/>
    <w:pPr>
      <w:keepNext/>
      <w:keepLines/>
      <w:numPr>
        <w:ilvl w:val="2"/>
        <w:numId w:val="1"/>
      </w:numPr>
      <w:spacing w:before="50" w:beforeLines="50" w:after="50" w:afterLines="50"/>
      <w:outlineLvl w:val="2"/>
    </w:pPr>
    <w:rPr>
      <w:rFonts w:ascii="Times New Roman" w:hAnsi="Times New Roman"/>
      <w:b/>
      <w:bCs/>
      <w:szCs w:val="32"/>
    </w:rPr>
  </w:style>
  <w:style w:type="paragraph" w:styleId="6">
    <w:name w:val="heading 4"/>
    <w:basedOn w:val="1"/>
    <w:next w:val="1"/>
    <w:link w:val="42"/>
    <w:unhideWhenUsed/>
    <w:qFormat/>
    <w:uiPriority w:val="9"/>
    <w:pPr>
      <w:keepNext/>
      <w:keepLines/>
      <w:numPr>
        <w:ilvl w:val="3"/>
        <w:numId w:val="1"/>
      </w:numPr>
      <w:spacing w:before="100" w:beforeLines="100" w:after="100" w:afterLines="100"/>
      <w:outlineLvl w:val="3"/>
    </w:pPr>
    <w:rPr>
      <w:rFonts w:ascii="Times New Roman" w:hAnsi="Times New Roman" w:eastAsiaTheme="majorEastAsia" w:cstheme="majorBidi"/>
      <w:b/>
      <w:bCs/>
      <w:szCs w:val="28"/>
    </w:rPr>
  </w:style>
  <w:style w:type="paragraph" w:styleId="7">
    <w:name w:val="heading 5"/>
    <w:basedOn w:val="1"/>
    <w:next w:val="1"/>
    <w:link w:val="43"/>
    <w:unhideWhenUsed/>
    <w:qFormat/>
    <w:uiPriority w:val="9"/>
    <w:pPr>
      <w:keepNext/>
      <w:keepLines/>
      <w:spacing w:before="280" w:after="290" w:line="376" w:lineRule="auto"/>
      <w:ind w:firstLine="200" w:firstLineChars="200"/>
      <w:outlineLvl w:val="4"/>
    </w:pPr>
    <w:rPr>
      <w:rFonts w:ascii="Times New Roman" w:hAnsi="Times New Roman"/>
      <w:b/>
      <w:bCs/>
      <w:szCs w:val="28"/>
    </w:rPr>
  </w:style>
  <w:style w:type="paragraph" w:styleId="8">
    <w:name w:val="heading 6"/>
    <w:basedOn w:val="1"/>
    <w:next w:val="1"/>
    <w:link w:val="49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99"/>
    <w:pPr>
      <w:spacing w:line="440" w:lineRule="exact"/>
    </w:pPr>
    <w:rPr>
      <w:rFonts w:ascii="仿宋_GB2312" w:hAnsi="宋体"/>
      <w:sz w:val="24"/>
      <w:szCs w:val="24"/>
    </w:rPr>
  </w:style>
  <w:style w:type="paragraph" w:styleId="9">
    <w:name w:val="toc 7"/>
    <w:basedOn w:val="1"/>
    <w:next w:val="1"/>
    <w:unhideWhenUsed/>
    <w:qFormat/>
    <w:uiPriority w:val="39"/>
    <w:pPr>
      <w:spacing w:line="240" w:lineRule="auto"/>
      <w:ind w:left="2520" w:leftChars="1200"/>
    </w:pPr>
    <w:rPr>
      <w:rFonts w:asciiTheme="minorHAnsi" w:hAnsiTheme="minorHAnsi" w:eastAsiaTheme="minorEastAsia"/>
      <w:sz w:val="21"/>
    </w:rPr>
  </w:style>
  <w:style w:type="paragraph" w:styleId="10">
    <w:name w:val="caption"/>
    <w:basedOn w:val="1"/>
    <w:next w:val="1"/>
    <w:unhideWhenUsed/>
    <w:qFormat/>
    <w:uiPriority w:val="35"/>
    <w:pPr>
      <w:ind w:firstLine="200" w:firstLineChars="200"/>
      <w:jc w:val="center"/>
    </w:pPr>
    <w:rPr>
      <w:rFonts w:asciiTheme="majorHAnsi" w:hAnsiTheme="majorHAnsi" w:cstheme="majorBidi"/>
      <w:b/>
      <w:sz w:val="24"/>
      <w:szCs w:val="20"/>
    </w:rPr>
  </w:style>
  <w:style w:type="paragraph" w:styleId="11">
    <w:name w:val="annotation text"/>
    <w:basedOn w:val="1"/>
    <w:link w:val="50"/>
    <w:semiHidden/>
    <w:unhideWhenUsed/>
    <w:qFormat/>
    <w:uiPriority w:val="99"/>
    <w:pPr>
      <w:jc w:val="left"/>
    </w:pPr>
  </w:style>
  <w:style w:type="paragraph" w:styleId="12">
    <w:name w:val="Body Text"/>
    <w:basedOn w:val="1"/>
    <w:link w:val="37"/>
    <w:unhideWhenUsed/>
    <w:qFormat/>
    <w:uiPriority w:val="99"/>
    <w:pPr>
      <w:spacing w:after="120"/>
      <w:ind w:firstLine="480" w:firstLineChars="200"/>
    </w:pPr>
    <w:rPr>
      <w:rFonts w:cs="Times New Roman"/>
      <w:sz w:val="24"/>
      <w:szCs w:val="20"/>
    </w:rPr>
  </w:style>
  <w:style w:type="paragraph" w:styleId="13">
    <w:name w:val="Body Text Indent"/>
    <w:basedOn w:val="1"/>
    <w:link w:val="44"/>
    <w:qFormat/>
    <w:uiPriority w:val="0"/>
    <w:pPr>
      <w:spacing w:line="480" w:lineRule="auto"/>
      <w:ind w:firstLine="200" w:firstLineChars="200"/>
    </w:pPr>
  </w:style>
  <w:style w:type="paragraph" w:styleId="14">
    <w:name w:val="toc 5"/>
    <w:basedOn w:val="1"/>
    <w:next w:val="1"/>
    <w:unhideWhenUsed/>
    <w:qFormat/>
    <w:uiPriority w:val="39"/>
    <w:pPr>
      <w:spacing w:line="240" w:lineRule="auto"/>
      <w:ind w:left="1680" w:leftChars="800"/>
    </w:pPr>
    <w:rPr>
      <w:rFonts w:asciiTheme="minorHAnsi" w:hAnsiTheme="minorHAnsi" w:eastAsiaTheme="minorEastAsia"/>
      <w:sz w:val="21"/>
    </w:rPr>
  </w:style>
  <w:style w:type="paragraph" w:styleId="15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6">
    <w:name w:val="Plain Text"/>
    <w:basedOn w:val="1"/>
    <w:link w:val="54"/>
    <w:qFormat/>
    <w:uiPriority w:val="0"/>
    <w:rPr>
      <w:rFonts w:hAnsi="Courier New"/>
      <w:szCs w:val="20"/>
    </w:rPr>
  </w:style>
  <w:style w:type="paragraph" w:styleId="17">
    <w:name w:val="toc 8"/>
    <w:basedOn w:val="1"/>
    <w:next w:val="1"/>
    <w:unhideWhenUsed/>
    <w:qFormat/>
    <w:uiPriority w:val="39"/>
    <w:pPr>
      <w:spacing w:line="240" w:lineRule="auto"/>
      <w:ind w:left="2940" w:leftChars="1400"/>
    </w:pPr>
    <w:rPr>
      <w:rFonts w:asciiTheme="minorHAnsi" w:hAnsiTheme="minorHAnsi" w:eastAsiaTheme="minorEastAsia"/>
      <w:sz w:val="21"/>
    </w:rPr>
  </w:style>
  <w:style w:type="paragraph" w:styleId="18">
    <w:name w:val="Balloon Text"/>
    <w:basedOn w:val="1"/>
    <w:link w:val="39"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3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</w:style>
  <w:style w:type="paragraph" w:styleId="22">
    <w:name w:val="toc 4"/>
    <w:basedOn w:val="1"/>
    <w:next w:val="1"/>
    <w:unhideWhenUsed/>
    <w:qFormat/>
    <w:uiPriority w:val="39"/>
    <w:pPr>
      <w:ind w:left="1260" w:leftChars="600"/>
    </w:pPr>
    <w:rPr>
      <w:rFonts w:eastAsiaTheme="minorEastAsia"/>
    </w:rPr>
  </w:style>
  <w:style w:type="paragraph" w:styleId="23">
    <w:name w:val="toc 6"/>
    <w:basedOn w:val="1"/>
    <w:next w:val="1"/>
    <w:unhideWhenUsed/>
    <w:qFormat/>
    <w:uiPriority w:val="39"/>
    <w:pPr>
      <w:spacing w:line="240" w:lineRule="auto"/>
      <w:ind w:left="2100" w:leftChars="1000"/>
    </w:pPr>
    <w:rPr>
      <w:rFonts w:asciiTheme="minorHAnsi" w:hAnsiTheme="minorHAnsi" w:eastAsiaTheme="minorEastAsia"/>
      <w:sz w:val="21"/>
    </w:rPr>
  </w:style>
  <w:style w:type="paragraph" w:styleId="24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5">
    <w:name w:val="toc 9"/>
    <w:basedOn w:val="1"/>
    <w:next w:val="1"/>
    <w:unhideWhenUsed/>
    <w:qFormat/>
    <w:uiPriority w:val="39"/>
    <w:pPr>
      <w:spacing w:line="240" w:lineRule="auto"/>
      <w:ind w:left="3360" w:leftChars="1600"/>
    </w:pPr>
    <w:rPr>
      <w:rFonts w:asciiTheme="minorHAnsi" w:hAnsiTheme="minorHAnsi" w:eastAsiaTheme="minorEastAsia"/>
      <w:sz w:val="21"/>
    </w:rPr>
  </w:style>
  <w:style w:type="paragraph" w:styleId="26">
    <w:name w:val="Title"/>
    <w:basedOn w:val="1"/>
    <w:next w:val="1"/>
    <w:link w:val="45"/>
    <w:qFormat/>
    <w:uiPriority w:val="10"/>
    <w:pPr>
      <w:jc w:val="center"/>
      <w:outlineLvl w:val="0"/>
    </w:pPr>
    <w:rPr>
      <w:rFonts w:eastAsiaTheme="majorEastAsia" w:cstheme="majorBidi"/>
      <w:bCs/>
      <w:sz w:val="24"/>
      <w:szCs w:val="32"/>
    </w:rPr>
  </w:style>
  <w:style w:type="paragraph" w:styleId="27">
    <w:name w:val="annotation subject"/>
    <w:basedOn w:val="11"/>
    <w:next w:val="11"/>
    <w:link w:val="51"/>
    <w:semiHidden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page number"/>
    <w:basedOn w:val="30"/>
    <w:qFormat/>
    <w:uiPriority w:val="0"/>
  </w:style>
  <w:style w:type="character" w:styleId="32">
    <w:name w:val="Hyperlink"/>
    <w:basedOn w:val="3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basedOn w:val="30"/>
    <w:semiHidden/>
    <w:unhideWhenUsed/>
    <w:qFormat/>
    <w:uiPriority w:val="99"/>
    <w:rPr>
      <w:sz w:val="21"/>
      <w:szCs w:val="21"/>
    </w:rPr>
  </w:style>
  <w:style w:type="paragraph" w:customStyle="1" w:styleId="34">
    <w:name w:val="表格文字"/>
    <w:basedOn w:val="1"/>
    <w:qFormat/>
    <w:uiPriority w:val="99"/>
    <w:pPr>
      <w:spacing w:before="25" w:after="25" w:line="240" w:lineRule="auto"/>
      <w:jc w:val="left"/>
    </w:pPr>
    <w:rPr>
      <w:bCs/>
      <w:spacing w:val="10"/>
      <w:kern w:val="0"/>
      <w:sz w:val="21"/>
    </w:rPr>
  </w:style>
  <w:style w:type="character" w:customStyle="1" w:styleId="35">
    <w:name w:val="页眉 字符"/>
    <w:basedOn w:val="30"/>
    <w:link w:val="20"/>
    <w:qFormat/>
    <w:uiPriority w:val="0"/>
    <w:rPr>
      <w:sz w:val="18"/>
      <w:szCs w:val="18"/>
    </w:rPr>
  </w:style>
  <w:style w:type="character" w:customStyle="1" w:styleId="36">
    <w:name w:val="页脚 字符"/>
    <w:basedOn w:val="30"/>
    <w:link w:val="19"/>
    <w:qFormat/>
    <w:uiPriority w:val="99"/>
    <w:rPr>
      <w:sz w:val="18"/>
      <w:szCs w:val="18"/>
    </w:rPr>
  </w:style>
  <w:style w:type="character" w:customStyle="1" w:styleId="37">
    <w:name w:val="正文文本 字符"/>
    <w:basedOn w:val="30"/>
    <w:link w:val="12"/>
    <w:qFormat/>
    <w:uiPriority w:val="99"/>
    <w:rPr>
      <w:rFonts w:ascii="宋体" w:hAnsi="宋体" w:eastAsia="宋体" w:cs="Times New Roman"/>
      <w:sz w:val="24"/>
      <w:szCs w:val="20"/>
    </w:rPr>
  </w:style>
  <w:style w:type="character" w:customStyle="1" w:styleId="38">
    <w:name w:val="标题 3 字符"/>
    <w:basedOn w:val="30"/>
    <w:link w:val="5"/>
    <w:qFormat/>
    <w:uiPriority w:val="9"/>
    <w:rPr>
      <w:rFonts w:cstheme="minorBidi"/>
      <w:b/>
      <w:bCs/>
      <w:kern w:val="2"/>
      <w:sz w:val="28"/>
      <w:szCs w:val="32"/>
    </w:rPr>
  </w:style>
  <w:style w:type="character" w:customStyle="1" w:styleId="39">
    <w:name w:val="批注框文本 字符"/>
    <w:basedOn w:val="30"/>
    <w:link w:val="18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0">
    <w:name w:val="标题 1 字符"/>
    <w:basedOn w:val="30"/>
    <w:link w:val="3"/>
    <w:qFormat/>
    <w:uiPriority w:val="9"/>
    <w:rPr>
      <w:rFonts w:cstheme="minorBidi"/>
      <w:b/>
      <w:bCs/>
      <w:kern w:val="44"/>
      <w:sz w:val="32"/>
      <w:szCs w:val="44"/>
    </w:rPr>
  </w:style>
  <w:style w:type="character" w:customStyle="1" w:styleId="41">
    <w:name w:val="标题 2 字符"/>
    <w:basedOn w:val="30"/>
    <w:link w:val="4"/>
    <w:qFormat/>
    <w:uiPriority w:val="0"/>
    <w:rPr>
      <w:rFonts w:cstheme="majorBidi"/>
      <w:b/>
      <w:bCs/>
      <w:kern w:val="2"/>
      <w:sz w:val="30"/>
      <w:szCs w:val="32"/>
    </w:rPr>
  </w:style>
  <w:style w:type="character" w:customStyle="1" w:styleId="42">
    <w:name w:val="标题 4 字符"/>
    <w:basedOn w:val="30"/>
    <w:link w:val="6"/>
    <w:qFormat/>
    <w:uiPriority w:val="9"/>
    <w:rPr>
      <w:rFonts w:eastAsiaTheme="majorEastAsia" w:cstheme="majorBidi"/>
      <w:b/>
      <w:bCs/>
      <w:kern w:val="2"/>
      <w:sz w:val="28"/>
      <w:szCs w:val="28"/>
    </w:rPr>
  </w:style>
  <w:style w:type="character" w:customStyle="1" w:styleId="43">
    <w:name w:val="标题 5 字符"/>
    <w:basedOn w:val="30"/>
    <w:link w:val="7"/>
    <w:qFormat/>
    <w:uiPriority w:val="9"/>
    <w:rPr>
      <w:rFonts w:cstheme="minorBidi"/>
      <w:b/>
      <w:bCs/>
      <w:kern w:val="2"/>
      <w:sz w:val="28"/>
      <w:szCs w:val="28"/>
    </w:rPr>
  </w:style>
  <w:style w:type="character" w:customStyle="1" w:styleId="44">
    <w:name w:val="正文文本缩进 字符"/>
    <w:basedOn w:val="30"/>
    <w:link w:val="13"/>
    <w:qFormat/>
    <w:uiPriority w:val="0"/>
    <w:rPr>
      <w:rFonts w:ascii="宋体" w:hAnsi="宋体" w:cstheme="minorBidi"/>
      <w:kern w:val="2"/>
      <w:sz w:val="28"/>
      <w:szCs w:val="22"/>
    </w:rPr>
  </w:style>
  <w:style w:type="character" w:customStyle="1" w:styleId="45">
    <w:name w:val="标题 字符"/>
    <w:basedOn w:val="30"/>
    <w:link w:val="26"/>
    <w:qFormat/>
    <w:uiPriority w:val="10"/>
    <w:rPr>
      <w:rFonts w:ascii="宋体" w:hAnsi="宋体" w:eastAsiaTheme="majorEastAsia" w:cstheme="majorBidi"/>
      <w:bCs/>
      <w:kern w:val="2"/>
      <w:sz w:val="24"/>
      <w:szCs w:val="32"/>
    </w:rPr>
  </w:style>
  <w:style w:type="paragraph" w:styleId="46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Theme="minorHAnsi" w:hAnsiTheme="minorHAnsi" w:eastAsiaTheme="minorEastAsia"/>
      <w:sz w:val="21"/>
    </w:rPr>
  </w:style>
  <w:style w:type="paragraph" w:customStyle="1" w:styleId="47">
    <w:name w:val="TOC Heading"/>
    <w:basedOn w:val="3"/>
    <w:next w:val="1"/>
    <w:unhideWhenUsed/>
    <w:qFormat/>
    <w:uiPriority w:val="39"/>
    <w:pPr>
      <w:widowControl/>
      <w:numPr>
        <w:numId w:val="0"/>
      </w:numPr>
      <w:spacing w:before="240" w:beforeLines="0" w:after="0" w:afterLines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Cs w:val="32"/>
    </w:rPr>
  </w:style>
  <w:style w:type="character" w:customStyle="1" w:styleId="48">
    <w:name w:val="未处理的提及1"/>
    <w:basedOn w:val="3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标题 6 字符"/>
    <w:basedOn w:val="30"/>
    <w:link w:val="8"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0">
    <w:name w:val="批注文字 字符"/>
    <w:basedOn w:val="30"/>
    <w:link w:val="11"/>
    <w:semiHidden/>
    <w:qFormat/>
    <w:uiPriority w:val="99"/>
    <w:rPr>
      <w:rFonts w:ascii="宋体" w:hAnsi="宋体" w:cstheme="minorBidi"/>
      <w:kern w:val="2"/>
      <w:sz w:val="28"/>
      <w:szCs w:val="22"/>
    </w:rPr>
  </w:style>
  <w:style w:type="character" w:customStyle="1" w:styleId="51">
    <w:name w:val="批注主题 字符"/>
    <w:basedOn w:val="50"/>
    <w:link w:val="27"/>
    <w:semiHidden/>
    <w:qFormat/>
    <w:uiPriority w:val="99"/>
    <w:rPr>
      <w:rFonts w:ascii="宋体" w:hAnsi="宋体" w:cstheme="minorBidi"/>
      <w:b/>
      <w:bCs/>
      <w:kern w:val="2"/>
      <w:sz w:val="28"/>
      <w:szCs w:val="22"/>
    </w:rPr>
  </w:style>
  <w:style w:type="paragraph" w:customStyle="1" w:styleId="52">
    <w:name w:val="Table Paragraph"/>
    <w:basedOn w:val="1"/>
    <w:qFormat/>
    <w:uiPriority w:val="1"/>
    <w:pPr>
      <w:autoSpaceDE w:val="0"/>
      <w:autoSpaceDN w:val="0"/>
      <w:spacing w:line="240" w:lineRule="auto"/>
      <w:jc w:val="left"/>
    </w:pPr>
    <w:rPr>
      <w:rFonts w:cs="宋体"/>
      <w:kern w:val="0"/>
      <w:sz w:val="22"/>
      <w:lang w:val="zh-CN" w:bidi="zh-CN"/>
    </w:rPr>
  </w:style>
  <w:style w:type="paragraph" w:customStyle="1" w:styleId="53">
    <w:name w:val="Revision"/>
    <w:hidden/>
    <w:semiHidden/>
    <w:qFormat/>
    <w:uiPriority w:val="99"/>
    <w:rPr>
      <w:rFonts w:ascii="宋体" w:hAnsi="宋体" w:eastAsia="宋体" w:cstheme="minorBidi"/>
      <w:kern w:val="2"/>
      <w:sz w:val="28"/>
      <w:szCs w:val="22"/>
      <w:lang w:val="en-US" w:eastAsia="zh-CN" w:bidi="ar-SA"/>
    </w:rPr>
  </w:style>
  <w:style w:type="character" w:customStyle="1" w:styleId="54">
    <w:name w:val="纯文本 字符"/>
    <w:link w:val="16"/>
    <w:qFormat/>
    <w:uiPriority w:val="0"/>
    <w:rPr>
      <w:rFonts w:ascii="宋体" w:hAnsi="Courier New" w:cstheme="minorBidi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numbering" Target="numbering.xml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5C866-1FA4-4868-9333-8EC6DF3C2D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2724</Words>
  <Characters>2974</Characters>
  <Lines>25</Lines>
  <Paragraphs>7</Paragraphs>
  <TotalTime>20</TotalTime>
  <ScaleCrop>false</ScaleCrop>
  <LinksUpToDate>false</LinksUpToDate>
  <CharactersWithSpaces>2984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2022-01-07T02:50:00Z</dcterms:created>
  <dc:creator>18lmf62</dc:creator>
  <cp:lastModifiedBy>赵家相如</cp:lastModifiedBy>
  <cp:lastPrinted>2025-11-10T01:15:00Z</cp:lastPrinted>
  <dcterms:modified xsi:type="dcterms:W3CDTF">2025-11-21T02:01:22Z</dcterms:modified>
  <cp:revision>380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MTWinEqns">
    <vt:bool>true</vt:bool>
  </property>
  <property fmtid="{D5CDD505-2E9C-101B-9397-08002B2CF9AE}" pid="4" name="ICV">
    <vt:lpwstr>958C13527024453E82FA7046C11E8426_13</vt:lpwstr>
  </property>
  <property fmtid="{D5CDD505-2E9C-101B-9397-08002B2CF9AE}" pid="5" name="KSOTemplateDocerSaveRecord">
    <vt:lpwstr>eyJoZGlkIjoiY2Q5MWZlZjY3NTFlYjJlMGYwMDYzMTIyNjNmOWQzYTMiLCJ1c2VySWQiOiIzNTI0NDkyNzgifQ==</vt:lpwstr>
  </property>
</Properties>
</file>